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74EE5F">
      <w:pPr>
        <w:pStyle w:val="4"/>
        <w:pageBreakBefore w:val="0"/>
        <w:kinsoku/>
        <w:wordWrap/>
        <w:overflowPunct/>
        <w:bidi w:val="0"/>
        <w:snapToGrid/>
        <w:spacing w:line="540" w:lineRule="exact"/>
        <w:ind w:left="0" w:leftChars="0" w:firstLine="0" w:firstLineChars="0"/>
        <w:textAlignment w:val="auto"/>
        <w:rPr>
          <w:rFonts w:cs="黑体" w:asciiTheme="minorEastAsia" w:hAnsiTheme="minorEastAsia" w:eastAsiaTheme="minorEastAsia"/>
          <w:color w:val="auto"/>
          <w:kern w:val="0"/>
          <w:sz w:val="36"/>
          <w:szCs w:val="36"/>
        </w:rPr>
      </w:pPr>
    </w:p>
    <w:p w14:paraId="737DD274">
      <w:pPr>
        <w:pStyle w:val="4"/>
        <w:pageBreakBefore w:val="0"/>
        <w:kinsoku/>
        <w:wordWrap/>
        <w:overflowPunct/>
        <w:bidi w:val="0"/>
        <w:snapToGrid/>
        <w:spacing w:line="540" w:lineRule="exact"/>
        <w:ind w:left="0" w:leftChars="0" w:firstLine="0" w:firstLineChars="0"/>
        <w:textAlignment w:val="auto"/>
        <w:rPr>
          <w:rFonts w:cs="黑体" w:asciiTheme="minorEastAsia" w:hAnsiTheme="minorEastAsia" w:eastAsiaTheme="minorEastAsia"/>
          <w:color w:val="auto"/>
          <w:kern w:val="0"/>
          <w:sz w:val="36"/>
          <w:szCs w:val="36"/>
        </w:rPr>
      </w:pPr>
    </w:p>
    <w:p w14:paraId="5108F1BD">
      <w:pPr>
        <w:pStyle w:val="4"/>
        <w:pageBreakBefore w:val="0"/>
        <w:kinsoku/>
        <w:wordWrap/>
        <w:overflowPunct/>
        <w:bidi w:val="0"/>
        <w:snapToGrid/>
        <w:spacing w:line="540" w:lineRule="exact"/>
        <w:ind w:left="0" w:leftChars="0" w:firstLine="0" w:firstLineChars="0"/>
        <w:textAlignment w:val="auto"/>
        <w:rPr>
          <w:rFonts w:cs="黑体" w:asciiTheme="minorEastAsia" w:hAnsiTheme="minorEastAsia" w:eastAsiaTheme="minorEastAsia"/>
          <w:color w:val="auto"/>
          <w:kern w:val="0"/>
          <w:sz w:val="36"/>
          <w:szCs w:val="36"/>
        </w:rPr>
      </w:pPr>
    </w:p>
    <w:p w14:paraId="76EBEFDD">
      <w:pPr>
        <w:pStyle w:val="4"/>
        <w:pageBreakBefore w:val="0"/>
        <w:kinsoku/>
        <w:wordWrap/>
        <w:overflowPunct/>
        <w:bidi w:val="0"/>
        <w:snapToGrid/>
        <w:spacing w:line="540" w:lineRule="exact"/>
        <w:ind w:left="0" w:leftChars="0" w:firstLine="0" w:firstLineChars="0"/>
        <w:textAlignment w:val="auto"/>
        <w:rPr>
          <w:rFonts w:cs="黑体" w:asciiTheme="minorEastAsia" w:hAnsiTheme="minorEastAsia" w:eastAsiaTheme="minorEastAsia"/>
          <w:color w:val="auto"/>
          <w:kern w:val="0"/>
          <w:sz w:val="36"/>
          <w:szCs w:val="36"/>
        </w:rPr>
      </w:pPr>
    </w:p>
    <w:p w14:paraId="39554C77">
      <w:pPr>
        <w:pStyle w:val="4"/>
        <w:pageBreakBefore w:val="0"/>
        <w:kinsoku/>
        <w:wordWrap/>
        <w:overflowPunct/>
        <w:bidi w:val="0"/>
        <w:snapToGrid/>
        <w:spacing w:line="540" w:lineRule="exact"/>
        <w:ind w:left="0" w:leftChars="0" w:firstLine="0" w:firstLineChars="0"/>
        <w:jc w:val="center"/>
        <w:textAlignment w:val="auto"/>
        <w:rPr>
          <w:rFonts w:cs="黑体" w:asciiTheme="minorEastAsia" w:hAnsiTheme="minorEastAsia" w:eastAsiaTheme="minorEastAsia"/>
          <w:color w:val="auto"/>
          <w:kern w:val="0"/>
          <w:sz w:val="36"/>
          <w:szCs w:val="36"/>
        </w:rPr>
      </w:pPr>
    </w:p>
    <w:p w14:paraId="772FD57F">
      <w:pPr>
        <w:pStyle w:val="4"/>
        <w:pageBreakBefore w:val="0"/>
        <w:kinsoku/>
        <w:wordWrap/>
        <w:overflowPunct/>
        <w:bidi w:val="0"/>
        <w:snapToGrid/>
        <w:spacing w:line="540" w:lineRule="exact"/>
        <w:ind w:left="0" w:leftChars="0" w:firstLine="0" w:firstLineChars="0"/>
        <w:textAlignment w:val="auto"/>
        <w:rPr>
          <w:rFonts w:cs="黑体" w:asciiTheme="minorEastAsia" w:hAnsiTheme="minorEastAsia" w:eastAsiaTheme="minorEastAsia"/>
          <w:color w:val="auto"/>
          <w:kern w:val="0"/>
          <w:sz w:val="36"/>
          <w:szCs w:val="36"/>
        </w:rPr>
      </w:pPr>
    </w:p>
    <w:p w14:paraId="48EF1853">
      <w:pPr>
        <w:pStyle w:val="4"/>
        <w:pageBreakBefore w:val="0"/>
        <w:kinsoku/>
        <w:wordWrap/>
        <w:overflowPunct/>
        <w:bidi w:val="0"/>
        <w:snapToGrid/>
        <w:spacing w:line="540" w:lineRule="exact"/>
        <w:ind w:left="0" w:leftChars="0" w:firstLine="0" w:firstLineChars="0"/>
        <w:textAlignment w:val="auto"/>
        <w:rPr>
          <w:rFonts w:cs="黑体" w:asciiTheme="minorEastAsia" w:hAnsiTheme="minorEastAsia" w:eastAsiaTheme="minorEastAsia"/>
          <w:color w:val="auto"/>
          <w:kern w:val="0"/>
          <w:sz w:val="36"/>
          <w:szCs w:val="36"/>
        </w:rPr>
      </w:pPr>
    </w:p>
    <w:p w14:paraId="348B1CA5">
      <w:pPr>
        <w:pageBreakBefore w:val="0"/>
        <w:kinsoku/>
        <w:wordWrap/>
        <w:overflowPunct/>
        <w:topLinePunct/>
        <w:autoSpaceDE w:val="0"/>
        <w:autoSpaceDN w:val="0"/>
        <w:bidi w:val="0"/>
        <w:adjustRightInd w:val="0"/>
        <w:snapToGrid/>
        <w:spacing w:line="540" w:lineRule="exact"/>
        <w:jc w:val="center"/>
        <w:textAlignment w:val="auto"/>
        <w:rPr>
          <w:rFonts w:cs="黑体" w:asciiTheme="minorEastAsia" w:hAnsiTheme="minorEastAsia" w:eastAsiaTheme="minorEastAsia"/>
          <w:color w:val="auto"/>
          <w:kern w:val="0"/>
          <w:sz w:val="36"/>
          <w:szCs w:val="36"/>
        </w:rPr>
      </w:pPr>
    </w:p>
    <w:p w14:paraId="7AD4FC34">
      <w:pPr>
        <w:pageBreakBefore w:val="0"/>
        <w:kinsoku/>
        <w:wordWrap/>
        <w:overflowPunct/>
        <w:bidi w:val="0"/>
        <w:snapToGrid/>
        <w:spacing w:line="540" w:lineRule="exact"/>
        <w:jc w:val="center"/>
        <w:textAlignment w:val="auto"/>
        <w:rPr>
          <w:rFonts w:hint="eastAsia" w:cs="黑体" w:asciiTheme="minorEastAsia" w:hAnsiTheme="minorEastAsia" w:eastAsiaTheme="minorEastAsia"/>
          <w:b/>
          <w:color w:val="auto"/>
          <w:kern w:val="0"/>
          <w:sz w:val="44"/>
          <w:szCs w:val="44"/>
          <w:lang w:val="en-US" w:eastAsia="zh-CN"/>
        </w:rPr>
        <w:sectPr>
          <w:footerReference r:id="rId7" w:type="first"/>
          <w:headerReference r:id="rId5" w:type="default"/>
          <w:footerReference r:id="rId6" w:type="default"/>
          <w:pgSz w:w="11906" w:h="16838"/>
          <w:pgMar w:top="1440" w:right="1800" w:bottom="1440" w:left="1800" w:header="851" w:footer="992" w:gutter="0"/>
          <w:pgNumType w:fmt="decimal" w:start="0"/>
          <w:cols w:space="425" w:num="1"/>
          <w:docGrid w:type="lines" w:linePitch="312" w:charSpace="0"/>
        </w:sectPr>
      </w:pPr>
      <w:r>
        <w:rPr>
          <w:rFonts w:hint="eastAsia" w:cs="黑体" w:asciiTheme="minorEastAsia" w:hAnsiTheme="minorEastAsia" w:eastAsiaTheme="minorEastAsia"/>
          <w:b/>
          <w:color w:val="auto"/>
          <w:kern w:val="0"/>
          <w:sz w:val="44"/>
          <w:szCs w:val="44"/>
          <w:lang w:val="en-US" w:eastAsia="zh-CN"/>
        </w:rPr>
        <w:t>勘察</w:t>
      </w:r>
      <w:r>
        <w:rPr>
          <w:rFonts w:hint="eastAsia" w:cs="黑体" w:asciiTheme="minorEastAsia" w:hAnsiTheme="minorEastAsia" w:eastAsiaTheme="minorEastAsia"/>
          <w:b/>
          <w:color w:val="auto"/>
          <w:kern w:val="0"/>
          <w:sz w:val="44"/>
          <w:szCs w:val="44"/>
        </w:rPr>
        <w:t>任务</w:t>
      </w:r>
      <w:r>
        <w:rPr>
          <w:rFonts w:hint="eastAsia" w:cs="黑体" w:asciiTheme="minorEastAsia" w:hAnsiTheme="minorEastAsia" w:eastAsiaTheme="minorEastAsia"/>
          <w:b/>
          <w:color w:val="auto"/>
          <w:kern w:val="0"/>
          <w:sz w:val="44"/>
          <w:szCs w:val="44"/>
          <w:lang w:val="en-US" w:eastAsia="zh-CN"/>
        </w:rPr>
        <w:t>书</w:t>
      </w:r>
    </w:p>
    <w:p w14:paraId="0D629356">
      <w:pPr>
        <w:pStyle w:val="2"/>
        <w:pageBreakBefore w:val="0"/>
        <w:numPr>
          <w:ilvl w:val="0"/>
          <w:numId w:val="0"/>
        </w:numPr>
        <w:kinsoku/>
        <w:wordWrap/>
        <w:overflowPunct/>
        <w:topLinePunct w:val="0"/>
        <w:autoSpaceDE/>
        <w:autoSpaceDN/>
        <w:bidi w:val="0"/>
        <w:snapToGrid/>
        <w:spacing w:before="0" w:after="0" w:line="540" w:lineRule="exact"/>
        <w:textAlignment w:val="auto"/>
        <w:rPr>
          <w:rFonts w:asciiTheme="minorEastAsia" w:hAnsiTheme="minorEastAsia" w:eastAsiaTheme="minorEastAsia"/>
          <w:color w:val="auto"/>
          <w:sz w:val="24"/>
          <w:szCs w:val="24"/>
        </w:rPr>
      </w:pPr>
      <w:bookmarkStart w:id="0" w:name="_Toc1386"/>
      <w:bookmarkStart w:id="1" w:name="_Toc11117"/>
      <w:r>
        <w:rPr>
          <w:rFonts w:hint="eastAsia" w:asciiTheme="minorEastAsia" w:hAnsiTheme="minorEastAsia" w:eastAsiaTheme="minorEastAsia"/>
          <w:color w:val="auto"/>
          <w:sz w:val="24"/>
          <w:szCs w:val="24"/>
        </w:rPr>
        <w:t>一、项目概况</w:t>
      </w:r>
      <w:bookmarkEnd w:id="0"/>
      <w:bookmarkEnd w:id="1"/>
    </w:p>
    <w:p w14:paraId="22D2FA68">
      <w:pPr>
        <w:pageBreakBefore w:val="0"/>
        <w:kinsoku/>
        <w:wordWrap/>
        <w:overflowPunct/>
        <w:topLinePunct w:val="0"/>
        <w:autoSpaceDE/>
        <w:autoSpaceDN/>
        <w:bidi w:val="0"/>
        <w:snapToGrid/>
        <w:spacing w:line="540" w:lineRule="exact"/>
        <w:ind w:firstLine="480" w:firstLineChars="200"/>
        <w:textAlignment w:val="auto"/>
        <w:rPr>
          <w:rFonts w:cs="仿宋_GB2312" w:asciiTheme="minorEastAsia" w:hAnsiTheme="minorEastAsia" w:eastAsiaTheme="minorEastAsia"/>
          <w:color w:val="auto"/>
          <w:szCs w:val="24"/>
        </w:rPr>
      </w:pPr>
      <w:r>
        <w:rPr>
          <w:rFonts w:hint="eastAsia" w:cs="仿宋_GB2312" w:asciiTheme="minorEastAsia" w:hAnsiTheme="minorEastAsia" w:eastAsiaTheme="minorEastAsia"/>
          <w:color w:val="auto"/>
          <w:szCs w:val="24"/>
        </w:rPr>
        <w:t>1.1项目名称：</w:t>
      </w:r>
      <w:r>
        <w:rPr>
          <w:rFonts w:hint="eastAsia" w:hAnsi="宋体" w:eastAsia="宋体" w:cs="微软雅黑"/>
          <w:color w:val="auto"/>
          <w:kern w:val="0"/>
          <w:sz w:val="24"/>
          <w:szCs w:val="24"/>
          <w:highlight w:val="none"/>
          <w:lang w:val="en-US" w:eastAsia="zh-CN" w:bidi="ar-SA"/>
        </w:rPr>
        <w:t>海口综保区先进制造集群配套设施项目</w:t>
      </w:r>
    </w:p>
    <w:p w14:paraId="13C18816">
      <w:pPr>
        <w:pageBreakBefore w:val="0"/>
        <w:kinsoku/>
        <w:wordWrap/>
        <w:overflowPunct/>
        <w:topLinePunct w:val="0"/>
        <w:autoSpaceDE/>
        <w:autoSpaceDN/>
        <w:bidi w:val="0"/>
        <w:snapToGrid/>
        <w:spacing w:line="540" w:lineRule="exact"/>
        <w:ind w:firstLine="435"/>
        <w:textAlignment w:val="auto"/>
        <w:rPr>
          <w:rFonts w:cs="仿宋_GB2312" w:asciiTheme="minorEastAsia" w:hAnsiTheme="minorEastAsia" w:eastAsiaTheme="minorEastAsia"/>
          <w:color w:val="auto"/>
          <w:szCs w:val="24"/>
        </w:rPr>
      </w:pPr>
      <w:r>
        <w:rPr>
          <w:rFonts w:hint="eastAsia" w:cs="仿宋_GB2312" w:asciiTheme="minorEastAsia" w:hAnsiTheme="minorEastAsia" w:eastAsiaTheme="minorEastAsia"/>
          <w:color w:val="auto"/>
          <w:szCs w:val="24"/>
        </w:rPr>
        <w:t>1.2建设单位：海口市恒慧基础建设有限公司；</w:t>
      </w:r>
    </w:p>
    <w:p w14:paraId="3165BFF0">
      <w:pPr>
        <w:pStyle w:val="4"/>
        <w:pageBreakBefore w:val="0"/>
        <w:kinsoku/>
        <w:wordWrap/>
        <w:overflowPunct/>
        <w:bidi w:val="0"/>
        <w:snapToGrid/>
        <w:spacing w:line="540" w:lineRule="exact"/>
        <w:ind w:left="0" w:leftChars="0" w:firstLine="480" w:firstLineChars="200"/>
        <w:textAlignment w:val="auto"/>
        <w:rPr>
          <w:rFonts w:hint="eastAsia" w:asciiTheme="minorEastAsia" w:hAnsiTheme="minorEastAsia" w:eastAsiaTheme="minorEastAsia" w:cstheme="minorEastAsia"/>
          <w:color w:val="000000"/>
          <w:szCs w:val="24"/>
          <w:lang w:val="en-US" w:eastAsia="zh-CN"/>
        </w:rPr>
      </w:pPr>
      <w:r>
        <w:rPr>
          <w:rFonts w:hint="eastAsia" w:cs="仿宋_GB2312" w:asciiTheme="minorEastAsia" w:hAnsiTheme="minorEastAsia" w:eastAsiaTheme="minorEastAsia"/>
          <w:color w:val="auto"/>
          <w:szCs w:val="24"/>
          <w:highlight w:val="none"/>
        </w:rPr>
        <w:t>1.</w:t>
      </w:r>
      <w:r>
        <w:rPr>
          <w:rFonts w:hint="eastAsia" w:cs="仿宋_GB2312" w:asciiTheme="minorEastAsia" w:hAnsiTheme="minorEastAsia" w:eastAsiaTheme="minorEastAsia"/>
          <w:color w:val="auto"/>
          <w:szCs w:val="24"/>
          <w:highlight w:val="none"/>
          <w:lang w:val="en-US" w:eastAsia="zh-CN"/>
        </w:rPr>
        <w:t>3</w:t>
      </w:r>
      <w:r>
        <w:rPr>
          <w:rFonts w:hint="eastAsia" w:asciiTheme="minorEastAsia" w:hAnsiTheme="minorEastAsia" w:eastAsiaTheme="minorEastAsia" w:cstheme="minorEastAsia"/>
          <w:color w:val="auto"/>
          <w:szCs w:val="24"/>
          <w:highlight w:val="none"/>
          <w:lang w:val="en-US" w:eastAsia="zh-CN"/>
        </w:rPr>
        <w:t>任务内容：</w:t>
      </w:r>
      <w:r>
        <w:rPr>
          <w:rFonts w:hint="eastAsia" w:ascii="宋体" w:hAnsi="宋体" w:cs="宋体"/>
          <w:color w:val="000000"/>
          <w:kern w:val="0"/>
          <w:sz w:val="24"/>
          <w:szCs w:val="24"/>
          <w:lang w:val="en-US" w:eastAsia="zh-CN" w:bidi="ar"/>
        </w:rPr>
        <w:t>拟</w:t>
      </w:r>
      <w:r>
        <w:rPr>
          <w:rFonts w:hint="eastAsia" w:ascii="宋体" w:hAnsi="宋体" w:eastAsia="宋体" w:cs="宋体"/>
          <w:color w:val="000000"/>
          <w:kern w:val="0"/>
          <w:sz w:val="24"/>
          <w:szCs w:val="24"/>
          <w:lang w:val="en-US" w:eastAsia="zh-CN" w:bidi="ar"/>
        </w:rPr>
        <w:t>新建1栋标准化厂房，配套建设业务用房及停车位、室外给排水和通信电力工程、道路广场等配套设施。用地面积19190.92m2(约28.79亩)，建筑占地面积11247.00m2，总建筑面积13189.8m2，其中，地上建筑面积12199.80m2，地下建筑面积990.00m2。</w:t>
      </w:r>
    </w:p>
    <w:p w14:paraId="1B978262">
      <w:pPr>
        <w:pStyle w:val="4"/>
        <w:pageBreakBefore w:val="0"/>
        <w:kinsoku/>
        <w:wordWrap/>
        <w:overflowPunct/>
        <w:bidi w:val="0"/>
        <w:snapToGrid/>
        <w:spacing w:line="540" w:lineRule="exact"/>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000000"/>
          <w:kern w:val="0"/>
          <w:sz w:val="24"/>
          <w:szCs w:val="24"/>
          <w:lang w:val="en-US" w:eastAsia="zh-CN" w:bidi="ar"/>
        </w:rPr>
        <w:t>勘察任务</w:t>
      </w:r>
      <w:r>
        <w:rPr>
          <w:rFonts w:hint="eastAsia" w:asciiTheme="minorEastAsia" w:hAnsiTheme="minorEastAsia" w:eastAsiaTheme="minorEastAsia" w:cstheme="minorEastAsia"/>
          <w:color w:val="auto"/>
          <w:szCs w:val="24"/>
          <w:lang w:val="en-US" w:eastAsia="zh-CN"/>
        </w:rPr>
        <w:t>包括</w:t>
      </w:r>
      <w:r>
        <w:rPr>
          <w:rFonts w:hint="eastAsia" w:asciiTheme="minorEastAsia" w:hAnsiTheme="minorEastAsia" w:eastAsiaTheme="minorEastAsia" w:cstheme="minorEastAsia"/>
          <w:color w:val="auto"/>
          <w:szCs w:val="24"/>
        </w:rPr>
        <w:t>工程勘察</w:t>
      </w:r>
      <w:r>
        <w:rPr>
          <w:rFonts w:hint="eastAsia" w:asciiTheme="minorEastAsia" w:hAnsiTheme="minorEastAsia" w:eastAsiaTheme="minorEastAsia" w:cstheme="minorEastAsia"/>
          <w:color w:val="auto"/>
          <w:szCs w:val="24"/>
          <w:lang w:eastAsia="zh-CN"/>
        </w:rPr>
        <w:t>、地形图测量、</w:t>
      </w:r>
      <w:r>
        <w:rPr>
          <w:rFonts w:hint="eastAsia" w:asciiTheme="minorEastAsia" w:hAnsiTheme="minorEastAsia" w:eastAsiaTheme="minorEastAsia" w:cstheme="minorEastAsia"/>
          <w:color w:val="000000"/>
          <w:szCs w:val="24"/>
        </w:rPr>
        <w:t>控制</w:t>
      </w:r>
      <w:r>
        <w:rPr>
          <w:rFonts w:hint="eastAsia" w:asciiTheme="minorEastAsia" w:hAnsiTheme="minorEastAsia" w:eastAsiaTheme="minorEastAsia" w:cstheme="minorEastAsia"/>
          <w:color w:val="000000"/>
          <w:szCs w:val="24"/>
          <w:lang w:val="en-US" w:eastAsia="zh-CN"/>
        </w:rPr>
        <w:t>点</w:t>
      </w:r>
      <w:r>
        <w:rPr>
          <w:rFonts w:hint="eastAsia" w:asciiTheme="minorEastAsia" w:hAnsiTheme="minorEastAsia" w:eastAsiaTheme="minorEastAsia" w:cstheme="minorEastAsia"/>
          <w:color w:val="000000"/>
          <w:szCs w:val="24"/>
        </w:rPr>
        <w:t>测量</w:t>
      </w:r>
      <w:r>
        <w:rPr>
          <w:rFonts w:hint="eastAsia" w:asciiTheme="minorEastAsia" w:hAnsiTheme="minorEastAsia" w:eastAsiaTheme="minorEastAsia" w:cstheme="minorEastAsia"/>
          <w:color w:val="000000"/>
          <w:szCs w:val="24"/>
          <w:lang w:eastAsia="zh-CN"/>
        </w:rPr>
        <w:t>、</w:t>
      </w:r>
      <w:r>
        <w:rPr>
          <w:rFonts w:hint="eastAsia" w:asciiTheme="minorEastAsia" w:hAnsiTheme="minorEastAsia" w:eastAsiaTheme="minorEastAsia" w:cstheme="minorEastAsia"/>
          <w:color w:val="auto"/>
          <w:szCs w:val="24"/>
        </w:rPr>
        <w:t>地下管线探测</w:t>
      </w:r>
      <w:r>
        <w:rPr>
          <w:rFonts w:hint="eastAsia" w:asciiTheme="minorEastAsia" w:hAnsiTheme="minorEastAsia" w:eastAsiaTheme="minorEastAsia" w:cstheme="minorEastAsia"/>
          <w:color w:val="auto"/>
          <w:szCs w:val="24"/>
          <w:lang w:eastAsia="zh-CN"/>
        </w:rPr>
        <w:t>、</w:t>
      </w:r>
      <w:r>
        <w:rPr>
          <w:rFonts w:hint="eastAsia" w:asciiTheme="minorEastAsia" w:hAnsiTheme="minorEastAsia" w:eastAsiaTheme="minorEastAsia" w:cstheme="minorEastAsia"/>
          <w:color w:val="auto"/>
          <w:szCs w:val="24"/>
          <w:lang w:val="en-US" w:eastAsia="zh-CN"/>
        </w:rPr>
        <w:t>基坑支护与施工降水设计、土壤氡检测及</w:t>
      </w:r>
      <w:r>
        <w:rPr>
          <w:rFonts w:hint="eastAsia" w:asciiTheme="minorEastAsia" w:hAnsiTheme="minorEastAsia" w:eastAsiaTheme="minorEastAsia" w:cstheme="minorEastAsia"/>
          <w:color w:val="auto"/>
          <w:szCs w:val="24"/>
        </w:rPr>
        <w:t>相应施工过程服务</w:t>
      </w:r>
      <w:r>
        <w:rPr>
          <w:rFonts w:hint="eastAsia" w:asciiTheme="minorEastAsia" w:hAnsiTheme="minorEastAsia" w:eastAsiaTheme="minorEastAsia" w:cstheme="minorEastAsia"/>
          <w:color w:val="auto"/>
          <w:szCs w:val="24"/>
          <w:highlight w:val="none"/>
        </w:rPr>
        <w:t>。</w:t>
      </w:r>
    </w:p>
    <w:p w14:paraId="5C691A02">
      <w:pPr>
        <w:keepNext w:val="0"/>
        <w:keepLines w:val="0"/>
        <w:pageBreakBefore w:val="0"/>
        <w:widowControl/>
        <w:suppressLineNumbers w:val="0"/>
        <w:kinsoku/>
        <w:wordWrap/>
        <w:overflowPunct/>
        <w:bidi w:val="0"/>
        <w:snapToGrid/>
        <w:spacing w:line="540" w:lineRule="exact"/>
        <w:ind w:left="480" w:leftChars="200" w:firstLine="0" w:firstLineChars="0"/>
        <w:jc w:val="left"/>
        <w:textAlignment w:val="auto"/>
        <w:rPr>
          <w:rFonts w:hint="default" w:hAnsi="宋体" w:eastAsia="宋体" w:cs="微软雅黑"/>
          <w:color w:val="auto"/>
          <w:kern w:val="0"/>
          <w:sz w:val="24"/>
          <w:szCs w:val="24"/>
          <w:highlight w:val="none"/>
          <w:lang w:val="en-US" w:eastAsia="zh-CN" w:bidi="ar-SA"/>
        </w:rPr>
      </w:pPr>
      <w:r>
        <w:rPr>
          <w:rFonts w:hint="eastAsia" w:hAnsi="宋体"/>
          <w:color w:val="auto"/>
          <w:sz w:val="24"/>
          <w:lang w:val="en-US" w:eastAsia="zh-CN"/>
        </w:rPr>
        <w:t>1.4</w:t>
      </w:r>
      <w:r>
        <w:rPr>
          <w:rFonts w:hint="eastAsia" w:cs="仿宋_GB2312" w:asciiTheme="minorEastAsia" w:hAnsiTheme="minorEastAsia" w:eastAsiaTheme="minorEastAsia"/>
          <w:color w:val="auto"/>
          <w:kern w:val="2"/>
          <w:sz w:val="24"/>
          <w:szCs w:val="24"/>
          <w:lang w:val="en-US" w:eastAsia="zh-CN" w:bidi="ar-SA"/>
        </w:rPr>
        <w:t>工程地点</w:t>
      </w:r>
      <w:r>
        <w:rPr>
          <w:rFonts w:hint="eastAsia" w:ascii="仿宋_GB2312" w:hAnsi="宋体" w:eastAsia="仿宋_GB2312"/>
          <w:color w:val="auto"/>
          <w:sz w:val="24"/>
        </w:rPr>
        <w:t>：</w:t>
      </w:r>
      <w:r>
        <w:rPr>
          <w:rFonts w:hint="eastAsia" w:ascii="宋体" w:hAnsi="宋体" w:eastAsia="宋体" w:cs="宋体"/>
          <w:color w:val="000000"/>
          <w:kern w:val="0"/>
          <w:sz w:val="24"/>
          <w:szCs w:val="24"/>
          <w:lang w:val="en-US" w:eastAsia="zh-CN" w:bidi="ar"/>
        </w:rPr>
        <w:t xml:space="preserve">海口综合保税区内 </w:t>
      </w:r>
      <w:r>
        <w:rPr>
          <w:rFonts w:hint="default" w:ascii="宋体" w:hAnsi="宋体" w:eastAsia="宋体" w:cs="宋体"/>
          <w:color w:val="000000"/>
          <w:kern w:val="0"/>
          <w:sz w:val="24"/>
          <w:szCs w:val="24"/>
          <w:lang w:val="en-US" w:eastAsia="zh-CN" w:bidi="ar"/>
        </w:rPr>
        <w:t xml:space="preserve">B03-04-14-05 </w:t>
      </w:r>
      <w:r>
        <w:rPr>
          <w:rFonts w:hint="eastAsia" w:ascii="宋体" w:hAnsi="宋体" w:eastAsia="宋体" w:cs="宋体"/>
          <w:color w:val="000000"/>
          <w:kern w:val="0"/>
          <w:sz w:val="24"/>
          <w:szCs w:val="24"/>
          <w:lang w:val="en-US" w:eastAsia="zh-CN" w:bidi="ar"/>
        </w:rPr>
        <w:t>地块</w:t>
      </w:r>
    </w:p>
    <w:p w14:paraId="0A64C432">
      <w:pPr>
        <w:keepNext w:val="0"/>
        <w:keepLines w:val="0"/>
        <w:pageBreakBefore w:val="0"/>
        <w:widowControl/>
        <w:suppressLineNumbers w:val="0"/>
        <w:kinsoku/>
        <w:wordWrap/>
        <w:overflowPunct/>
        <w:topLinePunct w:val="0"/>
        <w:autoSpaceDE/>
        <w:autoSpaceDN/>
        <w:bidi w:val="0"/>
        <w:snapToGrid/>
        <w:spacing w:line="540" w:lineRule="exact"/>
        <w:ind w:firstLine="480" w:firstLineChars="200"/>
        <w:jc w:val="left"/>
        <w:textAlignment w:val="auto"/>
        <w:rPr>
          <w:rFonts w:hint="default" w:ascii="仿宋_GB2312" w:hAnsi="宋体" w:eastAsia="仿宋_GB2312"/>
          <w:color w:val="auto"/>
          <w:sz w:val="24"/>
          <w:lang w:val="en-US"/>
        </w:rPr>
      </w:pPr>
      <w:r>
        <w:rPr>
          <w:rFonts w:hint="eastAsia" w:hAnsi="宋体"/>
          <w:color w:val="auto"/>
          <w:sz w:val="24"/>
          <w:lang w:val="en-US" w:eastAsia="zh-CN"/>
        </w:rPr>
        <w:t>1.5</w:t>
      </w:r>
      <w:r>
        <w:rPr>
          <w:rFonts w:hint="eastAsia" w:cs="仿宋_GB2312" w:asciiTheme="minorEastAsia" w:hAnsiTheme="minorEastAsia" w:eastAsiaTheme="minorEastAsia"/>
          <w:color w:val="auto"/>
          <w:kern w:val="2"/>
          <w:sz w:val="24"/>
          <w:szCs w:val="24"/>
          <w:lang w:val="en-US" w:eastAsia="zh-CN" w:bidi="ar-SA"/>
        </w:rPr>
        <w:t>工程性质</w:t>
      </w:r>
      <w:r>
        <w:rPr>
          <w:rFonts w:hint="eastAsia" w:ascii="仿宋_GB2312" w:hAnsi="宋体" w:eastAsia="仿宋_GB2312"/>
          <w:color w:val="auto"/>
          <w:sz w:val="24"/>
        </w:rPr>
        <w:t>：</w:t>
      </w:r>
      <w:r>
        <w:rPr>
          <w:rFonts w:hint="eastAsia" w:ascii="仿宋_GB2312" w:eastAsia="仿宋_GB2312"/>
          <w:b/>
          <w:color w:val="auto"/>
          <w:sz w:val="24"/>
          <w:u w:val="single"/>
          <w:lang w:val="en-US" w:eastAsia="zh-CN"/>
        </w:rPr>
        <w:t xml:space="preserve"> </w:t>
      </w:r>
      <w:r>
        <w:rPr>
          <w:rFonts w:hint="default"/>
          <w:b/>
          <w:color w:val="auto"/>
          <w:sz w:val="24"/>
          <w:u w:val="single"/>
          <w:lang w:eastAsia="zh-CN"/>
        </w:rPr>
        <w:t>工业</w:t>
      </w:r>
      <w:r>
        <w:rPr>
          <w:rFonts w:hint="eastAsia"/>
          <w:b/>
          <w:color w:val="auto"/>
          <w:sz w:val="24"/>
          <w:u w:val="single"/>
          <w:lang w:val="en-US" w:eastAsia="zh-CN"/>
        </w:rPr>
        <w:t>建筑</w:t>
      </w:r>
    </w:p>
    <w:p w14:paraId="6806A9D9">
      <w:pPr>
        <w:pStyle w:val="4"/>
        <w:pageBreakBefore w:val="0"/>
        <w:kinsoku/>
        <w:wordWrap/>
        <w:overflowPunct/>
        <w:topLinePunct w:val="0"/>
        <w:autoSpaceDE/>
        <w:autoSpaceDN/>
        <w:bidi w:val="0"/>
        <w:snapToGrid/>
        <w:spacing w:line="540" w:lineRule="exact"/>
        <w:ind w:firstLine="480"/>
        <w:jc w:val="both"/>
        <w:textAlignment w:val="auto"/>
        <w:rPr>
          <w:rFonts w:cs="仿宋_GB2312" w:asciiTheme="minorEastAsia" w:hAnsiTheme="minorEastAsia" w:eastAsiaTheme="minorEastAsia"/>
          <w:kern w:val="1"/>
          <w:szCs w:val="24"/>
        </w:rPr>
      </w:pPr>
      <w:r>
        <w:rPr>
          <w:rFonts w:hint="eastAsia" w:cs="仿宋_GB2312" w:asciiTheme="minorEastAsia" w:hAnsiTheme="minorEastAsia" w:eastAsiaTheme="minorEastAsia"/>
          <w:kern w:val="1"/>
          <w:szCs w:val="24"/>
        </w:rPr>
        <w:t>1.</w:t>
      </w:r>
      <w:r>
        <w:rPr>
          <w:rFonts w:hint="eastAsia" w:cs="仿宋_GB2312" w:asciiTheme="minorEastAsia" w:hAnsiTheme="minorEastAsia" w:eastAsiaTheme="minorEastAsia"/>
          <w:kern w:val="1"/>
          <w:szCs w:val="24"/>
          <w:lang w:val="en-US" w:eastAsia="zh-CN"/>
        </w:rPr>
        <w:t>6</w:t>
      </w:r>
      <w:r>
        <w:rPr>
          <w:rFonts w:hint="eastAsia" w:cs="仿宋_GB2312" w:asciiTheme="minorEastAsia" w:hAnsiTheme="minorEastAsia" w:eastAsiaTheme="minorEastAsia"/>
          <w:kern w:val="1"/>
          <w:szCs w:val="24"/>
        </w:rPr>
        <w:t>资质要求：</w:t>
      </w:r>
    </w:p>
    <w:p w14:paraId="0B9508BF">
      <w:pPr>
        <w:pStyle w:val="4"/>
        <w:pageBreakBefore w:val="0"/>
        <w:kinsoku/>
        <w:wordWrap/>
        <w:overflowPunct/>
        <w:topLinePunct w:val="0"/>
        <w:autoSpaceDE/>
        <w:autoSpaceDN/>
        <w:bidi w:val="0"/>
        <w:snapToGrid/>
        <w:spacing w:line="540" w:lineRule="exact"/>
        <w:jc w:val="both"/>
        <w:textAlignment w:val="auto"/>
        <w:rPr>
          <w:rFonts w:hint="eastAsia" w:cs="Times New Roman" w:asciiTheme="minorEastAsia" w:hAnsiTheme="minorEastAsia" w:eastAsiaTheme="minorEastAsia"/>
          <w:color w:val="000000"/>
          <w:szCs w:val="24"/>
          <w:lang w:eastAsia="zh-CN"/>
        </w:rPr>
      </w:pPr>
      <w:r>
        <w:rPr>
          <w:rFonts w:hint="eastAsia" w:cs="Times New Roman" w:asciiTheme="minorEastAsia" w:hAnsiTheme="minorEastAsia" w:eastAsiaTheme="minorEastAsia"/>
          <w:color w:val="000000"/>
          <w:szCs w:val="24"/>
        </w:rPr>
        <w:t>该项目工程设计规模为</w:t>
      </w:r>
      <w:r>
        <w:rPr>
          <w:rFonts w:hint="eastAsia" w:cs="Times New Roman" w:asciiTheme="minorEastAsia" w:hAnsiTheme="minorEastAsia" w:eastAsiaTheme="minorEastAsia"/>
          <w:color w:val="000000"/>
          <w:szCs w:val="24"/>
          <w:lang w:val="en-US" w:eastAsia="zh-CN"/>
        </w:rPr>
        <w:t>中</w:t>
      </w:r>
      <w:r>
        <w:rPr>
          <w:rFonts w:hint="eastAsia" w:cs="Times New Roman" w:asciiTheme="minorEastAsia" w:hAnsiTheme="minorEastAsia" w:eastAsiaTheme="minorEastAsia"/>
          <w:color w:val="000000"/>
          <w:szCs w:val="24"/>
        </w:rPr>
        <w:t>型的建设项目</w:t>
      </w:r>
      <w:r>
        <w:rPr>
          <w:rFonts w:hint="eastAsia" w:ascii="宋体" w:hAnsi="宋体" w:eastAsia="宋体" w:cs="宋体"/>
          <w:color w:val="000000"/>
          <w:sz w:val="24"/>
          <w:szCs w:val="24"/>
          <w:lang w:eastAsia="zh-CN"/>
        </w:rPr>
        <w:t>，</w:t>
      </w:r>
      <w:r>
        <w:rPr>
          <w:rFonts w:hint="eastAsia" w:cs="Times New Roman" w:asciiTheme="minorEastAsia" w:hAnsiTheme="minorEastAsia" w:eastAsiaTheme="minorEastAsia"/>
          <w:color w:val="000000"/>
          <w:szCs w:val="24"/>
          <w:lang w:val="en-US" w:eastAsia="zh-CN"/>
        </w:rPr>
        <w:t>勘察等级为乙级工程的岩土工程设计，</w:t>
      </w:r>
      <w:r>
        <w:rPr>
          <w:rFonts w:hint="eastAsia" w:cs="Times New Roman" w:asciiTheme="minorEastAsia" w:hAnsiTheme="minorEastAsia" w:eastAsiaTheme="minorEastAsia"/>
          <w:color w:val="000000"/>
          <w:szCs w:val="24"/>
        </w:rPr>
        <w:t>四等GNSS控制测量</w:t>
      </w:r>
      <w:r>
        <w:rPr>
          <w:rFonts w:hint="eastAsia" w:cs="Times New Roman" w:asciiTheme="minorEastAsia" w:hAnsiTheme="minorEastAsia" w:eastAsiaTheme="minorEastAsia"/>
          <w:color w:val="000000"/>
          <w:szCs w:val="24"/>
          <w:lang w:eastAsia="zh-CN"/>
        </w:rPr>
        <w:t>（</w:t>
      </w:r>
      <w:r>
        <w:rPr>
          <w:rFonts w:hint="eastAsia" w:cs="Times New Roman" w:asciiTheme="minorEastAsia" w:hAnsiTheme="minorEastAsia" w:eastAsiaTheme="minorEastAsia"/>
          <w:color w:val="000000"/>
          <w:szCs w:val="24"/>
          <w:lang w:val="en-US" w:eastAsia="zh-CN"/>
        </w:rPr>
        <w:t>暂定设计复杂程度I级</w:t>
      </w:r>
      <w:r>
        <w:rPr>
          <w:rFonts w:hint="eastAsia" w:cs="Times New Roman" w:asciiTheme="minorEastAsia" w:hAnsiTheme="minorEastAsia" w:eastAsiaTheme="minorEastAsia"/>
          <w:color w:val="000000"/>
          <w:szCs w:val="24"/>
          <w:lang w:eastAsia="zh-CN"/>
        </w:rPr>
        <w:t>）</w:t>
      </w:r>
      <w:r>
        <w:rPr>
          <w:rFonts w:hint="eastAsia" w:ascii="宋体" w:hAnsi="宋体" w:eastAsia="宋体" w:cs="宋体"/>
          <w:sz w:val="24"/>
          <w:szCs w:val="24"/>
        </w:rPr>
        <w:t>。</w:t>
      </w:r>
    </w:p>
    <w:p w14:paraId="51A4AC4E">
      <w:pPr>
        <w:pStyle w:val="2"/>
        <w:pageBreakBefore w:val="0"/>
        <w:numPr>
          <w:ilvl w:val="0"/>
          <w:numId w:val="0"/>
        </w:numPr>
        <w:kinsoku/>
        <w:wordWrap/>
        <w:overflowPunct/>
        <w:topLinePunct w:val="0"/>
        <w:autoSpaceDE/>
        <w:autoSpaceDN/>
        <w:bidi w:val="0"/>
        <w:snapToGrid/>
        <w:spacing w:before="0" w:after="0" w:line="540" w:lineRule="exact"/>
        <w:ind w:firstLine="480" w:firstLineChars="200"/>
        <w:jc w:val="both"/>
        <w:textAlignment w:val="auto"/>
        <w:rPr>
          <w:rFonts w:hint="eastAsia" w:ascii="宋体" w:hAnsi="宋体" w:eastAsia="宋体" w:cs="Times New Roman"/>
          <w:b w:val="0"/>
          <w:bCs w:val="0"/>
          <w:color w:val="000000"/>
          <w:kern w:val="2"/>
          <w:sz w:val="24"/>
          <w:szCs w:val="24"/>
          <w:lang w:val="en-US" w:eastAsia="zh-CN" w:bidi="ar-SA"/>
        </w:rPr>
      </w:pPr>
      <w:r>
        <w:rPr>
          <w:rFonts w:hint="eastAsia" w:ascii="宋体" w:hAnsi="宋体" w:eastAsia="宋体" w:cs="Times New Roman"/>
          <w:b w:val="0"/>
          <w:bCs w:val="0"/>
          <w:color w:val="000000"/>
          <w:kern w:val="2"/>
          <w:sz w:val="24"/>
          <w:szCs w:val="24"/>
          <w:lang w:val="en-US" w:eastAsia="zh-CN" w:bidi="ar-SA"/>
        </w:rPr>
        <w:t>工程勘察专业类（岩土工程勘察）乙级（含）以上资质；</w:t>
      </w:r>
    </w:p>
    <w:p w14:paraId="0FB01884">
      <w:pPr>
        <w:pageBreakBefore w:val="0"/>
        <w:kinsoku/>
        <w:wordWrap/>
        <w:overflowPunct/>
        <w:topLinePunct w:val="0"/>
        <w:autoSpaceDE/>
        <w:autoSpaceDN/>
        <w:bidi w:val="0"/>
        <w:snapToGrid/>
        <w:spacing w:line="540" w:lineRule="exact"/>
        <w:ind w:left="0" w:firstLine="480" w:firstLineChars="200"/>
        <w:jc w:val="both"/>
        <w:textAlignment w:val="auto"/>
        <w:rPr>
          <w:rFonts w:hint="eastAsia"/>
          <w:lang w:val="en-US" w:eastAsia="zh-CN"/>
        </w:rPr>
      </w:pPr>
      <w:r>
        <w:rPr>
          <w:rFonts w:hint="eastAsia" w:ascii="宋体" w:hAnsi="宋体" w:eastAsia="宋体" w:cs="Times New Roman"/>
          <w:b w:val="0"/>
          <w:bCs w:val="0"/>
          <w:color w:val="000000"/>
          <w:kern w:val="2"/>
          <w:sz w:val="24"/>
          <w:szCs w:val="24"/>
          <w:lang w:val="en-US" w:eastAsia="zh-CN" w:bidi="ar-SA"/>
        </w:rPr>
        <w:t>工程勘察专业类（岩土工程设计）甲级（含）以上资质；</w:t>
      </w:r>
    </w:p>
    <w:p w14:paraId="57130C6C">
      <w:pPr>
        <w:pageBreakBefore w:val="0"/>
        <w:kinsoku/>
        <w:wordWrap/>
        <w:overflowPunct/>
        <w:topLinePunct w:val="0"/>
        <w:autoSpaceDE/>
        <w:autoSpaceDN/>
        <w:bidi w:val="0"/>
        <w:snapToGrid/>
        <w:spacing w:line="540" w:lineRule="exact"/>
        <w:ind w:firstLine="480" w:firstLineChars="200"/>
        <w:jc w:val="both"/>
        <w:textAlignment w:val="auto"/>
        <w:rPr>
          <w:rFonts w:hint="eastAsia" w:ascii="宋体" w:hAnsi="宋体" w:eastAsia="宋体" w:cs="Times New Roman"/>
          <w:b w:val="0"/>
          <w:bCs w:val="0"/>
          <w:color w:val="000000"/>
          <w:kern w:val="2"/>
          <w:sz w:val="24"/>
          <w:szCs w:val="24"/>
          <w:lang w:val="en-US" w:eastAsia="zh-CN" w:bidi="ar-SA"/>
        </w:rPr>
      </w:pPr>
      <w:r>
        <w:rPr>
          <w:rFonts w:hint="eastAsia" w:ascii="宋体" w:hAnsi="宋体" w:eastAsia="宋体" w:cs="Times New Roman"/>
          <w:b w:val="0"/>
          <w:bCs w:val="0"/>
          <w:color w:val="000000"/>
          <w:kern w:val="2"/>
          <w:sz w:val="24"/>
          <w:szCs w:val="24"/>
          <w:lang w:val="en-US" w:eastAsia="zh-CN" w:bidi="ar-SA"/>
        </w:rPr>
        <w:t>工程勘察专业类（工程测量）乙级（含）以上资质；</w:t>
      </w:r>
    </w:p>
    <w:p w14:paraId="5E8E1994">
      <w:pPr>
        <w:pStyle w:val="2"/>
        <w:pageBreakBefore w:val="0"/>
        <w:numPr>
          <w:ilvl w:val="0"/>
          <w:numId w:val="0"/>
        </w:numPr>
        <w:kinsoku/>
        <w:wordWrap/>
        <w:overflowPunct/>
        <w:topLinePunct w:val="0"/>
        <w:autoSpaceDE/>
        <w:autoSpaceDN/>
        <w:bidi w:val="0"/>
        <w:snapToGrid/>
        <w:spacing w:before="0" w:after="0" w:line="540" w:lineRule="exact"/>
        <w:ind w:firstLine="480" w:firstLineChars="200"/>
        <w:jc w:val="both"/>
        <w:textAlignment w:val="auto"/>
        <w:rPr>
          <w:rFonts w:hint="eastAsia" w:ascii="宋体" w:hAnsi="宋体" w:eastAsia="宋体" w:cs="Times New Roman"/>
          <w:b w:val="0"/>
          <w:bCs w:val="0"/>
          <w:color w:val="000000"/>
          <w:kern w:val="2"/>
          <w:sz w:val="24"/>
          <w:szCs w:val="24"/>
          <w:lang w:val="en-US" w:eastAsia="zh-CN" w:bidi="ar-SA"/>
        </w:rPr>
      </w:pPr>
      <w:r>
        <w:rPr>
          <w:rFonts w:hint="eastAsia" w:ascii="宋体" w:hAnsi="宋体" w:eastAsia="宋体" w:cs="Times New Roman"/>
          <w:b w:val="0"/>
          <w:bCs w:val="0"/>
          <w:color w:val="000000"/>
          <w:kern w:val="2"/>
          <w:sz w:val="24"/>
          <w:szCs w:val="24"/>
          <w:lang w:val="en-US" w:eastAsia="zh-CN" w:bidi="ar-SA"/>
        </w:rPr>
        <w:t>工程勘察专业类 （岩土工程（物探测试检测监测））乙级（含）以上资质；</w:t>
      </w:r>
    </w:p>
    <w:p w14:paraId="0AA62FCD">
      <w:pPr>
        <w:pStyle w:val="2"/>
        <w:pageBreakBefore w:val="0"/>
        <w:numPr>
          <w:ilvl w:val="0"/>
          <w:numId w:val="0"/>
        </w:numPr>
        <w:kinsoku/>
        <w:wordWrap/>
        <w:overflowPunct/>
        <w:topLinePunct w:val="0"/>
        <w:autoSpaceDE/>
        <w:autoSpaceDN/>
        <w:bidi w:val="0"/>
        <w:snapToGrid/>
        <w:spacing w:before="0" w:after="0" w:line="540" w:lineRule="exact"/>
        <w:ind w:firstLine="482" w:firstLineChars="200"/>
        <w:textAlignment w:val="auto"/>
        <w:rPr>
          <w:rFonts w:hint="default" w:asciiTheme="minorEastAsia" w:hAnsiTheme="minorEastAsia" w:eastAsiaTheme="minorEastAsia"/>
          <w:color w:val="auto"/>
          <w:sz w:val="24"/>
          <w:szCs w:val="24"/>
          <w:lang w:val="en-US"/>
        </w:rPr>
      </w:pPr>
      <w:bookmarkStart w:id="2" w:name="_Toc1070"/>
      <w:bookmarkStart w:id="3" w:name="_Toc3950"/>
      <w:bookmarkStart w:id="16" w:name="_GoBack"/>
      <w:bookmarkEnd w:id="16"/>
      <w:r>
        <w:rPr>
          <w:rFonts w:hint="eastAsia" w:asciiTheme="minorEastAsia" w:hAnsiTheme="minorEastAsia" w:eastAsiaTheme="minorEastAsia"/>
          <w:color w:val="auto"/>
          <w:sz w:val="24"/>
          <w:szCs w:val="24"/>
          <w:lang w:val="en-US" w:eastAsia="zh-CN"/>
        </w:rPr>
        <w:t>二、详细任务</w:t>
      </w:r>
      <w:bookmarkEnd w:id="2"/>
      <w:bookmarkEnd w:id="3"/>
      <w:r>
        <w:rPr>
          <w:rFonts w:hint="eastAsia" w:asciiTheme="minorEastAsia" w:hAnsiTheme="minorEastAsia" w:eastAsiaTheme="minorEastAsia"/>
          <w:color w:val="auto"/>
          <w:sz w:val="24"/>
          <w:szCs w:val="24"/>
          <w:lang w:val="en-US" w:eastAsia="zh-CN"/>
        </w:rPr>
        <w:t>要求</w:t>
      </w:r>
    </w:p>
    <w:p w14:paraId="598AD5EC">
      <w:pPr>
        <w:pStyle w:val="4"/>
        <w:pageBreakBefore w:val="0"/>
        <w:kinsoku/>
        <w:wordWrap/>
        <w:overflowPunct/>
        <w:topLinePunct w:val="0"/>
        <w:autoSpaceDE/>
        <w:autoSpaceDN/>
        <w:bidi w:val="0"/>
        <w:snapToGrid/>
        <w:spacing w:line="540" w:lineRule="exact"/>
        <w:ind w:firstLine="419" w:firstLineChars="174"/>
        <w:jc w:val="both"/>
        <w:textAlignment w:val="auto"/>
        <w:rPr>
          <w:rFonts w:hint="eastAsia" w:cs="仿宋_GB2312" w:asciiTheme="minorEastAsia" w:hAnsiTheme="minorEastAsia" w:eastAsiaTheme="minorEastAsia"/>
          <w:b/>
          <w:bCs/>
          <w:szCs w:val="24"/>
          <w:lang w:val="en-US" w:eastAsia="zh-CN"/>
        </w:rPr>
      </w:pPr>
      <w:bookmarkStart w:id="4" w:name="_Toc5253"/>
      <w:bookmarkStart w:id="5" w:name="_Toc5928"/>
      <w:bookmarkStart w:id="6" w:name="_Toc26301"/>
      <w:bookmarkStart w:id="7" w:name="_Toc21209"/>
      <w:r>
        <w:rPr>
          <w:rFonts w:hint="eastAsia" w:cs="仿宋_GB2312" w:asciiTheme="minorEastAsia" w:hAnsiTheme="minorEastAsia" w:eastAsiaTheme="minorEastAsia"/>
          <w:b/>
          <w:bCs/>
          <w:szCs w:val="24"/>
        </w:rPr>
        <w:t>2.1地质勘察任务</w:t>
      </w:r>
      <w:r>
        <w:rPr>
          <w:rFonts w:hint="eastAsia" w:cs="仿宋_GB2312" w:asciiTheme="minorEastAsia" w:hAnsiTheme="minorEastAsia" w:eastAsiaTheme="minorEastAsia"/>
          <w:b/>
          <w:bCs/>
          <w:szCs w:val="24"/>
          <w:lang w:val="en-US" w:eastAsia="zh-CN"/>
        </w:rPr>
        <w:t>要求</w:t>
      </w:r>
    </w:p>
    <w:p w14:paraId="3E158CBD">
      <w:pPr>
        <w:keepNext w:val="0"/>
        <w:keepLines w:val="0"/>
        <w:pageBreakBefore w:val="0"/>
        <w:widowControl w:val="0"/>
        <w:kinsoku/>
        <w:wordWrap/>
        <w:overflowPunct/>
        <w:topLinePunct w:val="0"/>
        <w:autoSpaceDE/>
        <w:autoSpaceDN/>
        <w:bidi w:val="0"/>
        <w:adjustRightInd/>
        <w:snapToGrid/>
        <w:spacing w:line="540" w:lineRule="exact"/>
        <w:ind w:firstLine="435"/>
        <w:jc w:val="both"/>
        <w:textAlignment w:val="auto"/>
        <w:rPr>
          <w:rFonts w:cs="仿宋_GB2312" w:asciiTheme="minorEastAsia" w:hAnsiTheme="minorEastAsia" w:eastAsiaTheme="minorEastAsia"/>
          <w:szCs w:val="24"/>
        </w:rPr>
      </w:pPr>
      <w:r>
        <w:rPr>
          <w:rFonts w:hint="eastAsia" w:cs="仿宋_GB2312" w:asciiTheme="minorEastAsia" w:hAnsiTheme="minorEastAsia" w:eastAsiaTheme="minorEastAsia"/>
          <w:szCs w:val="24"/>
        </w:rPr>
        <w:t>查明并评价工程地质情况，为设计与施工、地基处理与加固、不良地质现象的防治工程等提供工程地质资料。至少应包括以下内容：</w:t>
      </w:r>
    </w:p>
    <w:p w14:paraId="083E92DD">
      <w:pPr>
        <w:pageBreakBefore w:val="0"/>
        <w:widowControl w:val="0"/>
        <w:kinsoku/>
        <w:wordWrap/>
        <w:overflowPunct/>
        <w:topLinePunct w:val="0"/>
        <w:autoSpaceDE/>
        <w:autoSpaceDN/>
        <w:bidi w:val="0"/>
        <w:snapToGrid/>
        <w:spacing w:line="540" w:lineRule="exact"/>
        <w:ind w:firstLine="480" w:firstLineChars="200"/>
        <w:jc w:val="both"/>
        <w:textAlignment w:val="auto"/>
        <w:rPr>
          <w:rFonts w:hint="eastAsia" w:cs="仿宋_GB2312" w:asciiTheme="minorEastAsia" w:hAnsiTheme="minorEastAsia" w:eastAsiaTheme="minorEastAsia"/>
          <w:szCs w:val="24"/>
          <w:lang w:val="en-US" w:eastAsia="zh-CN"/>
        </w:rPr>
      </w:pPr>
      <w:r>
        <w:rPr>
          <w:rFonts w:hint="eastAsia" w:cs="仿宋_GB2312" w:asciiTheme="minorEastAsia" w:hAnsiTheme="minorEastAsia" w:eastAsiaTheme="minorEastAsia"/>
          <w:szCs w:val="24"/>
          <w:lang w:val="en-US" w:eastAsia="zh-CN"/>
        </w:rPr>
        <w:t>(1)查明场地范围内的地形地貌特征，地貌成因类型及地貌单元的划分；</w:t>
      </w:r>
    </w:p>
    <w:p w14:paraId="69DA4AC4">
      <w:pPr>
        <w:pageBreakBefore w:val="0"/>
        <w:widowControl w:val="0"/>
        <w:kinsoku/>
        <w:wordWrap/>
        <w:overflowPunct/>
        <w:topLinePunct w:val="0"/>
        <w:autoSpaceDE/>
        <w:autoSpaceDN/>
        <w:bidi w:val="0"/>
        <w:snapToGrid/>
        <w:spacing w:line="540" w:lineRule="exact"/>
        <w:ind w:firstLine="480" w:firstLineChars="200"/>
        <w:jc w:val="both"/>
        <w:textAlignment w:val="auto"/>
        <w:rPr>
          <w:rFonts w:hint="eastAsia" w:cs="仿宋_GB2312" w:asciiTheme="minorEastAsia" w:hAnsiTheme="minorEastAsia" w:eastAsiaTheme="minorEastAsia"/>
          <w:szCs w:val="24"/>
          <w:lang w:val="en-US" w:eastAsia="zh-CN"/>
        </w:rPr>
      </w:pPr>
      <w:r>
        <w:rPr>
          <w:rFonts w:hint="eastAsia" w:cs="仿宋_GB2312" w:asciiTheme="minorEastAsia" w:hAnsiTheme="minorEastAsia" w:eastAsiaTheme="minorEastAsia"/>
          <w:szCs w:val="24"/>
          <w:lang w:val="en-US" w:eastAsia="zh-CN"/>
        </w:rPr>
        <w:t>(2)查明岩土层的类型、深度、分布以及物理力学性质；分析和评价地基的稳定性、均匀性，提供满足设计、施工所需的岩土参数和地基承载力指标；并提供地基变形计算参数、预测建筑物的变形特征。</w:t>
      </w:r>
    </w:p>
    <w:p w14:paraId="7B362E96">
      <w:pPr>
        <w:pageBreakBefore w:val="0"/>
        <w:widowControl w:val="0"/>
        <w:kinsoku/>
        <w:wordWrap/>
        <w:overflowPunct/>
        <w:topLinePunct w:val="0"/>
        <w:autoSpaceDE/>
        <w:autoSpaceDN/>
        <w:bidi w:val="0"/>
        <w:snapToGrid/>
        <w:spacing w:line="540" w:lineRule="exact"/>
        <w:ind w:firstLine="480" w:firstLineChars="200"/>
        <w:jc w:val="both"/>
        <w:textAlignment w:val="auto"/>
        <w:rPr>
          <w:rFonts w:hint="eastAsia" w:cs="仿宋_GB2312" w:asciiTheme="minorEastAsia" w:hAnsiTheme="minorEastAsia" w:eastAsiaTheme="minorEastAsia"/>
          <w:szCs w:val="24"/>
          <w:lang w:val="en-US" w:eastAsia="zh-CN"/>
        </w:rPr>
      </w:pPr>
      <w:r>
        <w:rPr>
          <w:rFonts w:hint="eastAsia" w:cs="仿宋_GB2312" w:asciiTheme="minorEastAsia" w:hAnsiTheme="minorEastAsia" w:eastAsiaTheme="minorEastAsia"/>
          <w:szCs w:val="24"/>
          <w:lang w:val="en-US" w:eastAsia="zh-CN"/>
        </w:rPr>
        <w:t>(3)查明埋藏的河道、沟浜、墓穴、防空洞、孤石等对工程不利的埋藏物；</w:t>
      </w:r>
    </w:p>
    <w:p w14:paraId="6049E78B">
      <w:pPr>
        <w:pageBreakBefore w:val="0"/>
        <w:widowControl w:val="0"/>
        <w:kinsoku/>
        <w:wordWrap/>
        <w:overflowPunct/>
        <w:topLinePunct w:val="0"/>
        <w:autoSpaceDE/>
        <w:autoSpaceDN/>
        <w:bidi w:val="0"/>
        <w:snapToGrid/>
        <w:spacing w:line="540" w:lineRule="exact"/>
        <w:ind w:firstLine="480" w:firstLineChars="200"/>
        <w:jc w:val="both"/>
        <w:textAlignment w:val="auto"/>
        <w:rPr>
          <w:rFonts w:hint="eastAsia" w:cs="仿宋_GB2312" w:asciiTheme="minorEastAsia" w:hAnsiTheme="minorEastAsia" w:eastAsiaTheme="minorEastAsia"/>
          <w:szCs w:val="24"/>
          <w:lang w:val="en-US" w:eastAsia="zh-CN"/>
        </w:rPr>
      </w:pPr>
      <w:r>
        <w:rPr>
          <w:rFonts w:hint="eastAsia" w:cs="仿宋_GB2312" w:asciiTheme="minorEastAsia" w:hAnsiTheme="minorEastAsia" w:eastAsiaTheme="minorEastAsia"/>
          <w:szCs w:val="24"/>
          <w:lang w:val="en-US" w:eastAsia="zh-CN"/>
        </w:rPr>
        <w:t>(4)查明建筑物附近有无影响工程稳定性的不良工程地质现象（如溶洞、古河道或人工洞穴等）及其类型、成因、分布范围、发展趋势和危害程度，提供不良地质现象的防冶工程所需的计算指标及资料，提出整治方案的建议；</w:t>
      </w:r>
    </w:p>
    <w:p w14:paraId="69C07F23">
      <w:pPr>
        <w:pageBreakBefore w:val="0"/>
        <w:widowControl w:val="0"/>
        <w:kinsoku/>
        <w:wordWrap/>
        <w:overflowPunct/>
        <w:topLinePunct w:val="0"/>
        <w:autoSpaceDE/>
        <w:autoSpaceDN/>
        <w:bidi w:val="0"/>
        <w:snapToGrid/>
        <w:spacing w:line="540" w:lineRule="exact"/>
        <w:ind w:firstLine="480" w:firstLineChars="200"/>
        <w:jc w:val="both"/>
        <w:textAlignment w:val="auto"/>
        <w:rPr>
          <w:rFonts w:hint="eastAsia" w:cs="仿宋_GB2312" w:asciiTheme="minorEastAsia" w:hAnsiTheme="minorEastAsia" w:eastAsiaTheme="minorEastAsia"/>
          <w:szCs w:val="24"/>
          <w:lang w:val="en-US" w:eastAsia="zh-CN"/>
        </w:rPr>
      </w:pPr>
      <w:r>
        <w:rPr>
          <w:rFonts w:hint="eastAsia" w:cs="仿宋_GB2312" w:asciiTheme="minorEastAsia" w:hAnsiTheme="minorEastAsia" w:eastAsiaTheme="minorEastAsia"/>
          <w:szCs w:val="24"/>
          <w:lang w:val="en-US" w:eastAsia="zh-CN"/>
        </w:rPr>
        <w:t>(5)评价确定场地土类别、对进行场地与地基的地震效应评价，并对饱和砂土及饱和粉土进行液化判断，查明有无可液化的地层，指出他们对场地或地基的危害程度，提出治理方案建议；</w:t>
      </w:r>
    </w:p>
    <w:p w14:paraId="5DDDB93F">
      <w:pPr>
        <w:pageBreakBefore w:val="0"/>
        <w:widowControl w:val="0"/>
        <w:kinsoku/>
        <w:wordWrap/>
        <w:overflowPunct/>
        <w:topLinePunct w:val="0"/>
        <w:autoSpaceDE/>
        <w:autoSpaceDN/>
        <w:bidi w:val="0"/>
        <w:snapToGrid/>
        <w:spacing w:line="540" w:lineRule="exact"/>
        <w:ind w:firstLine="480" w:firstLineChars="200"/>
        <w:jc w:val="both"/>
        <w:textAlignment w:val="auto"/>
        <w:rPr>
          <w:rFonts w:hint="eastAsia" w:cs="仿宋_GB2312" w:asciiTheme="minorEastAsia" w:hAnsiTheme="minorEastAsia" w:eastAsiaTheme="minorEastAsia"/>
          <w:szCs w:val="24"/>
          <w:lang w:val="en-US" w:eastAsia="zh-CN"/>
        </w:rPr>
      </w:pPr>
      <w:r>
        <w:rPr>
          <w:rFonts w:hint="eastAsia" w:cs="仿宋_GB2312" w:asciiTheme="minorEastAsia" w:hAnsiTheme="minorEastAsia" w:eastAsiaTheme="minorEastAsia"/>
          <w:szCs w:val="24"/>
          <w:lang w:val="en-US" w:eastAsia="zh-CN"/>
        </w:rPr>
        <w:t>(6)查明地下水的埋藏条件、地层的渗透性、地下水位变化幅度及其规律、地表径流条件，以及地下水对建筑物材料的侵蚀性等。</w:t>
      </w:r>
    </w:p>
    <w:p w14:paraId="1B4114B4">
      <w:pPr>
        <w:pageBreakBefore w:val="0"/>
        <w:widowControl w:val="0"/>
        <w:kinsoku/>
        <w:wordWrap/>
        <w:overflowPunct/>
        <w:topLinePunct w:val="0"/>
        <w:autoSpaceDE/>
        <w:autoSpaceDN/>
        <w:bidi w:val="0"/>
        <w:snapToGrid/>
        <w:spacing w:line="540" w:lineRule="exact"/>
        <w:ind w:firstLine="480" w:firstLineChars="200"/>
        <w:jc w:val="both"/>
        <w:textAlignment w:val="auto"/>
        <w:rPr>
          <w:rFonts w:hint="eastAsia" w:cs="仿宋_GB2312" w:asciiTheme="minorEastAsia" w:hAnsiTheme="minorEastAsia" w:eastAsiaTheme="minorEastAsia"/>
          <w:color w:val="auto"/>
          <w:szCs w:val="24"/>
          <w:lang w:val="en-US" w:eastAsia="zh-CN"/>
        </w:rPr>
      </w:pPr>
      <w:r>
        <w:rPr>
          <w:rFonts w:hint="eastAsia" w:cs="仿宋_GB2312" w:asciiTheme="minorEastAsia" w:hAnsiTheme="minorEastAsia" w:eastAsiaTheme="minorEastAsia"/>
          <w:color w:val="auto"/>
          <w:szCs w:val="24"/>
          <w:lang w:val="en-US" w:eastAsia="zh-CN"/>
        </w:rPr>
        <w:t>(7)提出地基基础和地基处理设计与施工方案的建议；</w:t>
      </w:r>
    </w:p>
    <w:p w14:paraId="7C40FD64">
      <w:pPr>
        <w:pageBreakBefore w:val="0"/>
        <w:widowControl w:val="0"/>
        <w:kinsoku/>
        <w:wordWrap/>
        <w:overflowPunct/>
        <w:topLinePunct w:val="0"/>
        <w:autoSpaceDE/>
        <w:autoSpaceDN/>
        <w:bidi w:val="0"/>
        <w:snapToGrid/>
        <w:spacing w:line="540" w:lineRule="exact"/>
        <w:ind w:firstLine="480" w:firstLineChars="200"/>
        <w:jc w:val="both"/>
        <w:textAlignment w:val="auto"/>
        <w:rPr>
          <w:rFonts w:hint="eastAsia" w:cs="仿宋_GB2312" w:asciiTheme="minorEastAsia" w:hAnsiTheme="minorEastAsia" w:eastAsiaTheme="minorEastAsia"/>
          <w:szCs w:val="24"/>
          <w:lang w:val="en-US" w:eastAsia="zh-CN"/>
        </w:rPr>
      </w:pPr>
      <w:r>
        <w:rPr>
          <w:rFonts w:hint="eastAsia" w:cs="仿宋_GB2312" w:asciiTheme="minorEastAsia" w:hAnsiTheme="minorEastAsia" w:eastAsiaTheme="minorEastAsia"/>
          <w:szCs w:val="24"/>
          <w:lang w:val="en-US" w:eastAsia="zh-CN"/>
        </w:rPr>
        <w:t>(8)有针对性的提出适宜的基础形式、埋深、地基处理和沉降分析等有关的计算参数及应注意的事项。如地基条件决定需采用桩基，应提出采用何种桩基、其相应的桩径尺寸、桩端持力层情况等，提出单桩极限承载力与计算公式。对于地基处理应提供具体的处理方案及计算指标。</w:t>
      </w:r>
    </w:p>
    <w:p w14:paraId="2484C876">
      <w:pPr>
        <w:pageBreakBefore w:val="0"/>
        <w:widowControl w:val="0"/>
        <w:kinsoku/>
        <w:wordWrap/>
        <w:overflowPunct/>
        <w:topLinePunct w:val="0"/>
        <w:autoSpaceDE/>
        <w:autoSpaceDN/>
        <w:bidi w:val="0"/>
        <w:snapToGrid/>
        <w:spacing w:line="540" w:lineRule="exact"/>
        <w:ind w:firstLine="480" w:firstLineChars="200"/>
        <w:jc w:val="both"/>
        <w:textAlignment w:val="auto"/>
        <w:rPr>
          <w:rFonts w:hint="eastAsia" w:cs="仿宋_GB2312" w:asciiTheme="minorEastAsia" w:hAnsiTheme="minorEastAsia" w:eastAsiaTheme="minorEastAsia"/>
          <w:szCs w:val="24"/>
          <w:lang w:val="en-US" w:eastAsia="zh-CN"/>
        </w:rPr>
      </w:pPr>
      <w:r>
        <w:rPr>
          <w:rFonts w:hint="eastAsia" w:cs="仿宋_GB2312" w:asciiTheme="minorEastAsia" w:hAnsiTheme="minorEastAsia" w:eastAsiaTheme="minorEastAsia"/>
          <w:szCs w:val="24"/>
          <w:lang w:val="en-US" w:eastAsia="zh-CN"/>
        </w:rPr>
        <w:t>(9)提供设计施工所需要的基坑开挖与人工降低地下水位的有关资料。分析判定地基土及地下水在施工及使用中可能产生的变化影响，并提出防治建议等。</w:t>
      </w:r>
    </w:p>
    <w:p w14:paraId="69D93E50">
      <w:pPr>
        <w:pageBreakBefore w:val="0"/>
        <w:widowControl w:val="0"/>
        <w:kinsoku/>
        <w:wordWrap/>
        <w:overflowPunct/>
        <w:topLinePunct w:val="0"/>
        <w:autoSpaceDE/>
        <w:autoSpaceDN/>
        <w:bidi w:val="0"/>
        <w:snapToGrid/>
        <w:spacing w:line="540" w:lineRule="exact"/>
        <w:ind w:firstLine="480" w:firstLineChars="200"/>
        <w:jc w:val="both"/>
        <w:textAlignment w:val="auto"/>
        <w:rPr>
          <w:rFonts w:hint="eastAsia" w:cs="仿宋_GB2312" w:asciiTheme="minorEastAsia" w:hAnsiTheme="minorEastAsia" w:eastAsiaTheme="minorEastAsia"/>
          <w:szCs w:val="24"/>
          <w:lang w:val="en-US" w:eastAsia="zh-CN"/>
        </w:rPr>
      </w:pPr>
      <w:r>
        <w:rPr>
          <w:rFonts w:hint="eastAsia" w:cs="仿宋_GB2312" w:asciiTheme="minorEastAsia" w:hAnsiTheme="minorEastAsia" w:eastAsiaTheme="minorEastAsia"/>
          <w:szCs w:val="24"/>
          <w:lang w:val="en-US" w:eastAsia="zh-CN"/>
        </w:rPr>
        <w:t>(10)抗浮设计等级为甲级的工程、场地水文地质条件复杂的乙级工程应进行抗浮专项勘察。</w:t>
      </w:r>
    </w:p>
    <w:p w14:paraId="1DF50D3D">
      <w:pPr>
        <w:pageBreakBefore w:val="0"/>
        <w:widowControl w:val="0"/>
        <w:kinsoku/>
        <w:wordWrap/>
        <w:overflowPunct/>
        <w:topLinePunct w:val="0"/>
        <w:autoSpaceDE/>
        <w:autoSpaceDN/>
        <w:bidi w:val="0"/>
        <w:snapToGrid/>
        <w:spacing w:line="540" w:lineRule="exact"/>
        <w:ind w:firstLine="480" w:firstLineChars="200"/>
        <w:jc w:val="both"/>
        <w:textAlignment w:val="auto"/>
        <w:rPr>
          <w:rFonts w:hint="eastAsia" w:cs="仿宋_GB2312" w:asciiTheme="minorEastAsia" w:hAnsiTheme="minorEastAsia" w:eastAsiaTheme="minorEastAsia"/>
          <w:szCs w:val="24"/>
          <w:lang w:val="en-US" w:eastAsia="zh-CN"/>
        </w:rPr>
      </w:pPr>
      <w:r>
        <w:rPr>
          <w:rFonts w:hint="eastAsia" w:cs="仿宋_GB2312" w:asciiTheme="minorEastAsia" w:hAnsiTheme="minorEastAsia" w:eastAsiaTheme="minorEastAsia"/>
          <w:szCs w:val="24"/>
          <w:lang w:val="en-US" w:eastAsia="zh-CN"/>
        </w:rPr>
        <w:t>(11)危大工程分析评价。</w:t>
      </w:r>
    </w:p>
    <w:p w14:paraId="28CDC8D1">
      <w:pPr>
        <w:pStyle w:val="6"/>
        <w:pageBreakBefore w:val="0"/>
        <w:widowControl w:val="0"/>
        <w:kinsoku/>
        <w:wordWrap/>
        <w:overflowPunct/>
        <w:topLinePunct w:val="0"/>
        <w:autoSpaceDE/>
        <w:autoSpaceDN/>
        <w:bidi w:val="0"/>
        <w:snapToGrid/>
        <w:spacing w:before="0" w:after="0" w:line="540" w:lineRule="exact"/>
        <w:ind w:left="0" w:firstLine="482" w:firstLineChars="200"/>
        <w:jc w:val="both"/>
        <w:textAlignment w:val="auto"/>
        <w:rPr>
          <w:rFonts w:cs="仿宋_GB2312" w:asciiTheme="minorEastAsia" w:hAnsiTheme="minorEastAsia" w:eastAsiaTheme="minorEastAsia"/>
          <w:b/>
          <w:bCs/>
          <w:szCs w:val="24"/>
        </w:rPr>
      </w:pPr>
      <w:r>
        <w:rPr>
          <w:rFonts w:hint="eastAsia" w:cs="仿宋_GB2312" w:asciiTheme="minorEastAsia" w:hAnsiTheme="minorEastAsia" w:eastAsiaTheme="minorEastAsia"/>
          <w:b/>
          <w:bCs/>
          <w:szCs w:val="24"/>
        </w:rPr>
        <w:t>2.</w:t>
      </w:r>
      <w:r>
        <w:rPr>
          <w:rFonts w:hint="eastAsia" w:cs="仿宋_GB2312" w:asciiTheme="minorEastAsia" w:hAnsiTheme="minorEastAsia" w:eastAsiaTheme="minorEastAsia"/>
          <w:b/>
          <w:bCs/>
          <w:szCs w:val="24"/>
          <w:lang w:val="en-US" w:eastAsia="zh-CN"/>
        </w:rPr>
        <w:t>2</w:t>
      </w:r>
      <w:r>
        <w:rPr>
          <w:rFonts w:hint="eastAsia" w:cs="仿宋_GB2312" w:asciiTheme="minorEastAsia" w:hAnsiTheme="minorEastAsia" w:eastAsiaTheme="minorEastAsia"/>
          <w:b/>
          <w:bCs/>
          <w:szCs w:val="24"/>
          <w:lang w:eastAsia="zh-Hans"/>
        </w:rPr>
        <w:t>工程</w:t>
      </w:r>
      <w:r>
        <w:rPr>
          <w:rFonts w:hint="eastAsia" w:cs="仿宋_GB2312" w:asciiTheme="minorEastAsia" w:hAnsiTheme="minorEastAsia" w:eastAsiaTheme="minorEastAsia"/>
          <w:b/>
          <w:bCs/>
          <w:szCs w:val="24"/>
        </w:rPr>
        <w:t>测量</w:t>
      </w:r>
      <w:r>
        <w:rPr>
          <w:rFonts w:hint="eastAsia" w:cs="仿宋_GB2312" w:asciiTheme="minorEastAsia" w:hAnsiTheme="minorEastAsia" w:eastAsiaTheme="minorEastAsia"/>
          <w:b/>
          <w:bCs/>
          <w:szCs w:val="24"/>
          <w:lang w:val="en-US" w:eastAsia="zh-CN"/>
        </w:rPr>
        <w:t>及地下管线探测</w:t>
      </w:r>
      <w:r>
        <w:rPr>
          <w:rFonts w:hint="eastAsia" w:cs="仿宋_GB2312" w:asciiTheme="minorEastAsia" w:hAnsiTheme="minorEastAsia" w:eastAsiaTheme="minorEastAsia"/>
          <w:b/>
          <w:bCs/>
          <w:szCs w:val="24"/>
          <w:lang w:eastAsia="zh-Hans"/>
        </w:rPr>
        <w:t>要求</w:t>
      </w:r>
    </w:p>
    <w:p w14:paraId="1BAEFFA8">
      <w:pPr>
        <w:pageBreakBefore w:val="0"/>
        <w:kinsoku/>
        <w:wordWrap/>
        <w:overflowPunct/>
        <w:topLinePunct w:val="0"/>
        <w:autoSpaceDE/>
        <w:autoSpaceDN/>
        <w:bidi w:val="0"/>
        <w:snapToGrid/>
        <w:spacing w:line="540" w:lineRule="exact"/>
        <w:ind w:firstLine="480" w:firstLineChars="200"/>
        <w:textAlignment w:val="auto"/>
        <w:rPr>
          <w:rFonts w:cs="仿宋_GB2312" w:asciiTheme="minorEastAsia" w:hAnsiTheme="minorEastAsia" w:eastAsiaTheme="minorEastAsia"/>
          <w:szCs w:val="24"/>
        </w:rPr>
      </w:pPr>
      <w:r>
        <w:rPr>
          <w:rFonts w:hint="eastAsia" w:cs="仿宋_GB2312" w:asciiTheme="minorEastAsia" w:hAnsiTheme="minorEastAsia" w:eastAsiaTheme="minorEastAsia"/>
          <w:szCs w:val="24"/>
        </w:rPr>
        <w:t>2.</w:t>
      </w:r>
      <w:r>
        <w:rPr>
          <w:rFonts w:hint="eastAsia" w:cs="仿宋_GB2312" w:asciiTheme="minorEastAsia" w:hAnsiTheme="minorEastAsia" w:eastAsiaTheme="minorEastAsia"/>
          <w:szCs w:val="24"/>
          <w:lang w:val="en-US" w:eastAsia="zh-CN"/>
        </w:rPr>
        <w:t>2</w:t>
      </w:r>
      <w:r>
        <w:rPr>
          <w:rFonts w:hint="eastAsia" w:cs="仿宋_GB2312" w:asciiTheme="minorEastAsia" w:hAnsiTheme="minorEastAsia" w:eastAsiaTheme="minorEastAsia"/>
          <w:szCs w:val="24"/>
        </w:rPr>
        <w:t>.1地形测量</w:t>
      </w:r>
    </w:p>
    <w:p w14:paraId="6434342C">
      <w:pPr>
        <w:pageBreakBefore w:val="0"/>
        <w:numPr>
          <w:ilvl w:val="0"/>
          <w:numId w:val="2"/>
        </w:numPr>
        <w:kinsoku/>
        <w:wordWrap/>
        <w:overflowPunct/>
        <w:topLinePunct w:val="0"/>
        <w:autoSpaceDE/>
        <w:autoSpaceDN/>
        <w:bidi w:val="0"/>
        <w:snapToGrid/>
        <w:spacing w:line="540" w:lineRule="exact"/>
        <w:ind w:left="0" w:firstLine="425"/>
        <w:textAlignment w:val="auto"/>
        <w:rPr>
          <w:rFonts w:cs="仿宋_GB2312" w:asciiTheme="minorEastAsia" w:hAnsiTheme="minorEastAsia" w:eastAsiaTheme="minorEastAsia"/>
          <w:szCs w:val="24"/>
        </w:rPr>
      </w:pPr>
      <w:r>
        <w:rPr>
          <w:rFonts w:hint="eastAsia" w:cs="仿宋_GB2312" w:asciiTheme="minorEastAsia" w:hAnsiTheme="minorEastAsia" w:eastAsiaTheme="minorEastAsia"/>
          <w:szCs w:val="24"/>
        </w:rPr>
        <w:t>测量范围：项目用地红线范围外扩约15米(测量单位也可根据现状地形情况，对测量范围进行相应调整，以满足设计为准)，总测量面积最终据实结算。</w:t>
      </w:r>
    </w:p>
    <w:p w14:paraId="1A5A5071">
      <w:pPr>
        <w:pageBreakBefore w:val="0"/>
        <w:numPr>
          <w:ilvl w:val="0"/>
          <w:numId w:val="2"/>
        </w:numPr>
        <w:kinsoku/>
        <w:wordWrap/>
        <w:overflowPunct/>
        <w:topLinePunct w:val="0"/>
        <w:autoSpaceDE/>
        <w:autoSpaceDN/>
        <w:bidi w:val="0"/>
        <w:snapToGrid/>
        <w:spacing w:line="540" w:lineRule="exact"/>
        <w:ind w:left="0" w:firstLine="425"/>
        <w:textAlignment w:val="auto"/>
        <w:rPr>
          <w:rFonts w:cs="仿宋_GB2312" w:asciiTheme="minorEastAsia" w:hAnsiTheme="minorEastAsia" w:eastAsiaTheme="minorEastAsia"/>
          <w:szCs w:val="24"/>
        </w:rPr>
      </w:pPr>
      <w:r>
        <w:rPr>
          <w:rFonts w:hint="eastAsia" w:cs="仿宋_GB2312" w:asciiTheme="minorEastAsia" w:hAnsiTheme="minorEastAsia" w:eastAsiaTheme="minorEastAsia"/>
          <w:szCs w:val="24"/>
        </w:rPr>
        <w:t>地形图应查明并标示管线、杆线及沟渠等，其深度应满足详测要求。</w:t>
      </w:r>
    </w:p>
    <w:p w14:paraId="1320745D">
      <w:pPr>
        <w:pageBreakBefore w:val="0"/>
        <w:numPr>
          <w:ilvl w:val="0"/>
          <w:numId w:val="2"/>
        </w:numPr>
        <w:kinsoku/>
        <w:wordWrap/>
        <w:overflowPunct/>
        <w:topLinePunct w:val="0"/>
        <w:autoSpaceDE/>
        <w:autoSpaceDN/>
        <w:bidi w:val="0"/>
        <w:snapToGrid/>
        <w:spacing w:line="540" w:lineRule="exact"/>
        <w:ind w:left="0" w:firstLine="425"/>
        <w:textAlignment w:val="auto"/>
      </w:pPr>
      <w:r>
        <w:rPr>
          <w:rFonts w:hint="eastAsia" w:cs="仿宋_GB2312" w:asciiTheme="minorEastAsia" w:hAnsiTheme="minorEastAsia" w:eastAsiaTheme="minorEastAsia"/>
          <w:color w:val="auto"/>
          <w:szCs w:val="24"/>
        </w:rPr>
        <w:t>地形图测量严格按照相应测量规范执行。</w:t>
      </w:r>
      <w:r>
        <w:rPr>
          <w:rFonts w:hint="eastAsia" w:cs="仿宋_GB2312" w:asciiTheme="minorEastAsia" w:hAnsiTheme="minorEastAsia" w:eastAsiaTheme="minorEastAsia"/>
          <w:color w:val="auto"/>
          <w:szCs w:val="24"/>
          <w:highlight w:val="none"/>
        </w:rPr>
        <w:t>坐标系采用海南海口平面坐标系、独立坐标系以及大地2000分别出具成果</w:t>
      </w:r>
      <w:r>
        <w:rPr>
          <w:rFonts w:hint="eastAsia" w:cs="仿宋_GB2312" w:asciiTheme="minorEastAsia" w:hAnsiTheme="minorEastAsia" w:eastAsiaTheme="minorEastAsia"/>
          <w:color w:val="auto"/>
          <w:szCs w:val="24"/>
        </w:rPr>
        <w:t>，高程系统采用国家1985高程。</w:t>
      </w:r>
    </w:p>
    <w:p w14:paraId="47D81D09">
      <w:pPr>
        <w:pStyle w:val="4"/>
        <w:pageBreakBefore w:val="0"/>
        <w:numPr>
          <w:ilvl w:val="0"/>
          <w:numId w:val="0"/>
        </w:numPr>
        <w:kinsoku/>
        <w:wordWrap/>
        <w:overflowPunct/>
        <w:bidi w:val="0"/>
        <w:snapToGrid/>
        <w:spacing w:line="540" w:lineRule="exact"/>
        <w:ind w:firstLine="480" w:firstLineChars="200"/>
        <w:textAlignment w:val="auto"/>
        <w:rPr>
          <w:rFonts w:hint="eastAsia" w:cs="仿宋_GB2312" w:asciiTheme="minorEastAsia" w:hAnsiTheme="minorEastAsia" w:eastAsiaTheme="minorEastAsia"/>
          <w:szCs w:val="24"/>
          <w:lang w:eastAsia="zh-CN"/>
        </w:rPr>
      </w:pPr>
      <w:r>
        <w:rPr>
          <w:rFonts w:hint="eastAsia" w:ascii="微软雅黑" w:hAnsi="微软雅黑" w:eastAsia="微软雅黑" w:cs="微软雅黑"/>
          <w:szCs w:val="24"/>
          <w:lang w:eastAsia="zh-CN"/>
        </w:rPr>
        <w:t>⑷</w:t>
      </w:r>
      <w:r>
        <w:rPr>
          <w:rFonts w:hint="eastAsia" w:cs="仿宋_GB2312" w:asciiTheme="minorEastAsia" w:hAnsiTheme="minorEastAsia" w:eastAsiaTheme="minorEastAsia"/>
          <w:szCs w:val="24"/>
          <w:lang w:eastAsia="zh-CN"/>
        </w:rPr>
        <w:t>承包人应按发包人要求将相应成果、文件转换坐标系并对其成果负责。</w:t>
      </w:r>
    </w:p>
    <w:p w14:paraId="31A91626">
      <w:pPr>
        <w:pageBreakBefore w:val="0"/>
        <w:numPr>
          <w:ilvl w:val="0"/>
          <w:numId w:val="0"/>
        </w:numPr>
        <w:kinsoku/>
        <w:wordWrap/>
        <w:overflowPunct/>
        <w:topLinePunct w:val="0"/>
        <w:autoSpaceDE/>
        <w:autoSpaceDN/>
        <w:bidi w:val="0"/>
        <w:adjustRightInd w:val="0"/>
        <w:snapToGrid/>
        <w:spacing w:line="540" w:lineRule="exact"/>
        <w:ind w:left="425" w:leftChars="0"/>
        <w:textAlignment w:val="auto"/>
        <w:rPr>
          <w:rFonts w:cs="仿宋_GB2312" w:asciiTheme="minorEastAsia" w:hAnsiTheme="minorEastAsia" w:eastAsiaTheme="minorEastAsia"/>
          <w:szCs w:val="24"/>
        </w:rPr>
      </w:pPr>
      <w:r>
        <w:rPr>
          <w:rFonts w:hint="eastAsia" w:ascii="微软雅黑" w:hAnsi="微软雅黑" w:eastAsia="微软雅黑" w:cs="微软雅黑"/>
          <w:szCs w:val="24"/>
        </w:rPr>
        <w:t>⑸</w:t>
      </w:r>
      <w:r>
        <w:rPr>
          <w:rFonts w:hint="eastAsia" w:cs="仿宋_GB2312" w:asciiTheme="minorEastAsia" w:hAnsiTheme="minorEastAsia" w:eastAsiaTheme="minorEastAsia"/>
          <w:szCs w:val="24"/>
        </w:rPr>
        <w:t>测出范围内的地上杆线（含高压）线路和杆（塔）位的坐标定位等。</w:t>
      </w:r>
    </w:p>
    <w:p w14:paraId="22163D79">
      <w:pPr>
        <w:pageBreakBefore w:val="0"/>
        <w:numPr>
          <w:ilvl w:val="0"/>
          <w:numId w:val="0"/>
        </w:numPr>
        <w:kinsoku/>
        <w:wordWrap/>
        <w:overflowPunct/>
        <w:topLinePunct w:val="0"/>
        <w:autoSpaceDE/>
        <w:autoSpaceDN/>
        <w:bidi w:val="0"/>
        <w:adjustRightInd w:val="0"/>
        <w:snapToGrid/>
        <w:spacing w:line="540" w:lineRule="exact"/>
        <w:ind w:left="425" w:leftChars="0"/>
        <w:textAlignment w:val="auto"/>
        <w:rPr>
          <w:rFonts w:cs="仿宋_GB2312" w:asciiTheme="minorEastAsia" w:hAnsiTheme="minorEastAsia" w:eastAsiaTheme="minorEastAsia"/>
          <w:szCs w:val="24"/>
        </w:rPr>
      </w:pPr>
      <w:r>
        <w:rPr>
          <w:rFonts w:hint="eastAsia" w:ascii="微软雅黑" w:hAnsi="微软雅黑" w:eastAsia="微软雅黑" w:cs="微软雅黑"/>
          <w:szCs w:val="24"/>
        </w:rPr>
        <w:t>⑹</w:t>
      </w:r>
      <w:r>
        <w:rPr>
          <w:rFonts w:hint="eastAsia" w:cs="仿宋_GB2312" w:asciiTheme="minorEastAsia" w:hAnsiTheme="minorEastAsia" w:eastAsiaTheme="minorEastAsia"/>
          <w:szCs w:val="24"/>
        </w:rPr>
        <w:t>现况路路面高程。</w:t>
      </w:r>
    </w:p>
    <w:p w14:paraId="7D00D6C0">
      <w:pPr>
        <w:pageBreakBefore w:val="0"/>
        <w:kinsoku/>
        <w:wordWrap/>
        <w:overflowPunct/>
        <w:topLinePunct w:val="0"/>
        <w:autoSpaceDE/>
        <w:autoSpaceDN/>
        <w:bidi w:val="0"/>
        <w:snapToGrid/>
        <w:spacing w:line="540" w:lineRule="exact"/>
        <w:ind w:firstLine="480" w:firstLineChars="200"/>
        <w:textAlignment w:val="auto"/>
        <w:rPr>
          <w:rFonts w:cs="仿宋_GB2312" w:asciiTheme="minorEastAsia" w:hAnsiTheme="minorEastAsia" w:eastAsiaTheme="minorEastAsia"/>
          <w:szCs w:val="24"/>
        </w:rPr>
      </w:pPr>
      <w:r>
        <w:rPr>
          <w:rFonts w:hint="eastAsia" w:cs="仿宋_GB2312" w:asciiTheme="minorEastAsia" w:hAnsiTheme="minorEastAsia" w:eastAsiaTheme="minorEastAsia"/>
          <w:szCs w:val="24"/>
        </w:rPr>
        <w:t>2.</w:t>
      </w:r>
      <w:r>
        <w:rPr>
          <w:rFonts w:hint="eastAsia" w:cs="仿宋_GB2312" w:asciiTheme="minorEastAsia" w:hAnsiTheme="minorEastAsia" w:eastAsiaTheme="minorEastAsia"/>
          <w:szCs w:val="24"/>
          <w:lang w:val="en-US" w:eastAsia="zh-CN"/>
        </w:rPr>
        <w:t>2</w:t>
      </w:r>
      <w:r>
        <w:rPr>
          <w:rFonts w:hint="eastAsia" w:cs="仿宋_GB2312" w:asciiTheme="minorEastAsia" w:hAnsiTheme="minorEastAsia" w:eastAsiaTheme="minorEastAsia"/>
          <w:szCs w:val="24"/>
        </w:rPr>
        <w:t>.2周边道路地下管线探测</w:t>
      </w:r>
      <w:r>
        <w:rPr>
          <w:rFonts w:hint="eastAsia" w:cs="仿宋_GB2312" w:asciiTheme="minorEastAsia" w:hAnsiTheme="minorEastAsia" w:eastAsiaTheme="minorEastAsia"/>
          <w:szCs w:val="24"/>
          <w:lang w:val="en-US" w:eastAsia="zh-CN"/>
        </w:rPr>
        <w:t>及</w:t>
      </w:r>
      <w:r>
        <w:rPr>
          <w:rFonts w:hint="eastAsia" w:cs="仿宋_GB2312" w:asciiTheme="minorEastAsia" w:hAnsiTheme="minorEastAsia" w:eastAsiaTheme="minorEastAsia"/>
          <w:szCs w:val="24"/>
        </w:rPr>
        <w:t>管线调查</w:t>
      </w:r>
    </w:p>
    <w:p w14:paraId="13D67708">
      <w:pPr>
        <w:pageBreakBefore w:val="0"/>
        <w:numPr>
          <w:ilvl w:val="0"/>
          <w:numId w:val="3"/>
        </w:numPr>
        <w:kinsoku/>
        <w:wordWrap/>
        <w:overflowPunct/>
        <w:topLinePunct w:val="0"/>
        <w:autoSpaceDE/>
        <w:autoSpaceDN/>
        <w:bidi w:val="0"/>
        <w:snapToGrid/>
        <w:spacing w:line="540" w:lineRule="exact"/>
        <w:ind w:left="0" w:firstLine="425"/>
        <w:textAlignment w:val="auto"/>
        <w:rPr>
          <w:rFonts w:cs="仿宋_GB2312" w:asciiTheme="minorEastAsia" w:hAnsiTheme="minorEastAsia" w:eastAsiaTheme="minorEastAsia"/>
          <w:szCs w:val="24"/>
        </w:rPr>
      </w:pPr>
      <w:r>
        <w:rPr>
          <w:rFonts w:hint="eastAsia" w:cs="仿宋_GB2312" w:asciiTheme="minorEastAsia" w:hAnsiTheme="minorEastAsia" w:eastAsiaTheme="minorEastAsia"/>
          <w:szCs w:val="24"/>
        </w:rPr>
        <w:t>对场地周边及场地内现有的如电力、给</w:t>
      </w:r>
      <w:r>
        <w:rPr>
          <w:rFonts w:hint="eastAsia" w:cs="仿宋_GB2312" w:asciiTheme="minorEastAsia" w:hAnsiTheme="minorEastAsia" w:eastAsiaTheme="minorEastAsia"/>
          <w:szCs w:val="24"/>
          <w:lang w:val="en-US" w:eastAsia="zh-CN"/>
        </w:rPr>
        <w:t>排</w:t>
      </w:r>
      <w:r>
        <w:rPr>
          <w:rFonts w:hint="eastAsia" w:cs="仿宋_GB2312" w:asciiTheme="minorEastAsia" w:hAnsiTheme="minorEastAsia" w:eastAsiaTheme="minorEastAsia"/>
          <w:szCs w:val="24"/>
        </w:rPr>
        <w:t>水、军光、煤气、电信等相关地下管线作管线探测及管线详细调查，标明各管线的位置（检查井坐标）、断面尺寸、埋设深度（高程）。</w:t>
      </w:r>
    </w:p>
    <w:p w14:paraId="36F4089B">
      <w:pPr>
        <w:pageBreakBefore w:val="0"/>
        <w:numPr>
          <w:ilvl w:val="0"/>
          <w:numId w:val="3"/>
        </w:numPr>
        <w:kinsoku/>
        <w:wordWrap/>
        <w:overflowPunct/>
        <w:topLinePunct w:val="0"/>
        <w:autoSpaceDE/>
        <w:autoSpaceDN/>
        <w:bidi w:val="0"/>
        <w:snapToGrid/>
        <w:spacing w:line="540" w:lineRule="exact"/>
        <w:ind w:left="0" w:firstLine="425"/>
        <w:textAlignment w:val="auto"/>
        <w:rPr>
          <w:rFonts w:cs="仿宋_GB2312" w:asciiTheme="minorEastAsia" w:hAnsiTheme="minorEastAsia" w:eastAsiaTheme="minorEastAsia"/>
          <w:szCs w:val="24"/>
        </w:rPr>
      </w:pPr>
      <w:r>
        <w:rPr>
          <w:rFonts w:hint="eastAsia" w:cs="仿宋_GB2312" w:asciiTheme="minorEastAsia" w:hAnsiTheme="minorEastAsia" w:eastAsiaTheme="minorEastAsia"/>
          <w:szCs w:val="24"/>
        </w:rPr>
        <w:t>对现有的电力、电信等各类架空线路作详细调查，标明各线路杆件的准确位置、线路的规格（根数）等。</w:t>
      </w:r>
    </w:p>
    <w:p w14:paraId="4F59CA7C">
      <w:pPr>
        <w:pageBreakBefore w:val="0"/>
        <w:numPr>
          <w:ilvl w:val="0"/>
          <w:numId w:val="3"/>
        </w:numPr>
        <w:kinsoku/>
        <w:wordWrap/>
        <w:overflowPunct/>
        <w:topLinePunct w:val="0"/>
        <w:autoSpaceDE/>
        <w:autoSpaceDN/>
        <w:bidi w:val="0"/>
        <w:snapToGrid/>
        <w:spacing w:line="540" w:lineRule="exact"/>
        <w:ind w:left="0" w:firstLine="425"/>
        <w:textAlignment w:val="auto"/>
        <w:rPr>
          <w:rFonts w:cs="仿宋_GB2312" w:asciiTheme="minorEastAsia" w:hAnsiTheme="minorEastAsia" w:eastAsiaTheme="minorEastAsia"/>
          <w:szCs w:val="24"/>
        </w:rPr>
      </w:pPr>
      <w:r>
        <w:rPr>
          <w:rFonts w:hint="eastAsia" w:cs="仿宋_GB2312" w:asciiTheme="minorEastAsia" w:hAnsiTheme="minorEastAsia" w:eastAsiaTheme="minorEastAsia"/>
          <w:szCs w:val="24"/>
        </w:rPr>
        <w:t>对现有雨、污水排水管作详细调查，标明管线的位置、断面尺寸（管径）、排水方向、结构形式、雨水口位置、埋设深度（管内底高程）、出口详细位置及出口详细断面尺寸及出口处相连下游管线或河渠的高程和断面尺寸。</w:t>
      </w:r>
    </w:p>
    <w:p w14:paraId="563B9BE3">
      <w:pPr>
        <w:pageBreakBefore w:val="0"/>
        <w:kinsoku/>
        <w:wordWrap/>
        <w:overflowPunct/>
        <w:topLinePunct w:val="0"/>
        <w:autoSpaceDE/>
        <w:autoSpaceDN/>
        <w:bidi w:val="0"/>
        <w:snapToGrid/>
        <w:spacing w:line="540" w:lineRule="exact"/>
        <w:ind w:firstLine="480" w:firstLineChars="200"/>
        <w:textAlignment w:val="auto"/>
        <w:rPr>
          <w:rFonts w:cs="仿宋_GB2312" w:asciiTheme="minorEastAsia" w:hAnsiTheme="minorEastAsia" w:eastAsiaTheme="minorEastAsia"/>
          <w:szCs w:val="24"/>
        </w:rPr>
      </w:pPr>
      <w:r>
        <w:rPr>
          <w:rFonts w:hint="eastAsia" w:cs="仿宋_GB2312" w:asciiTheme="minorEastAsia" w:hAnsiTheme="minorEastAsia" w:eastAsiaTheme="minorEastAsia"/>
          <w:szCs w:val="24"/>
        </w:rPr>
        <w:t>2.</w:t>
      </w:r>
      <w:r>
        <w:rPr>
          <w:rFonts w:hint="eastAsia" w:cs="仿宋_GB2312" w:asciiTheme="minorEastAsia" w:hAnsiTheme="minorEastAsia" w:eastAsiaTheme="minorEastAsia"/>
          <w:szCs w:val="24"/>
          <w:lang w:val="en-US" w:eastAsia="zh-CN"/>
        </w:rPr>
        <w:t>2</w:t>
      </w:r>
      <w:r>
        <w:rPr>
          <w:rFonts w:hint="eastAsia" w:cs="仿宋_GB2312" w:asciiTheme="minorEastAsia" w:hAnsiTheme="minorEastAsia" w:eastAsiaTheme="minorEastAsia"/>
          <w:szCs w:val="24"/>
        </w:rPr>
        <w:t>.3周边主要沟渠水系数据测量</w:t>
      </w:r>
    </w:p>
    <w:p w14:paraId="7C6A50CA">
      <w:pPr>
        <w:pageBreakBefore w:val="0"/>
        <w:numPr>
          <w:ilvl w:val="0"/>
          <w:numId w:val="4"/>
        </w:numPr>
        <w:kinsoku/>
        <w:wordWrap/>
        <w:overflowPunct/>
        <w:topLinePunct w:val="0"/>
        <w:autoSpaceDE/>
        <w:autoSpaceDN/>
        <w:bidi w:val="0"/>
        <w:snapToGrid/>
        <w:spacing w:line="540" w:lineRule="exact"/>
        <w:ind w:left="0" w:firstLine="425"/>
        <w:textAlignment w:val="auto"/>
        <w:rPr>
          <w:rFonts w:cs="仿宋_GB2312" w:asciiTheme="minorEastAsia" w:hAnsiTheme="minorEastAsia" w:eastAsiaTheme="minorEastAsia"/>
          <w:szCs w:val="24"/>
        </w:rPr>
      </w:pPr>
      <w:r>
        <w:rPr>
          <w:rFonts w:hint="eastAsia" w:cs="仿宋_GB2312" w:asciiTheme="minorEastAsia" w:hAnsiTheme="minorEastAsia" w:eastAsiaTheme="minorEastAsia"/>
          <w:szCs w:val="24"/>
        </w:rPr>
        <w:t>测量现况沟渠情况，并明确现况沟走向、断面及沟底高程。</w:t>
      </w:r>
    </w:p>
    <w:p w14:paraId="330B1E27">
      <w:pPr>
        <w:pageBreakBefore w:val="0"/>
        <w:numPr>
          <w:ilvl w:val="0"/>
          <w:numId w:val="4"/>
        </w:numPr>
        <w:kinsoku/>
        <w:wordWrap/>
        <w:overflowPunct/>
        <w:topLinePunct w:val="0"/>
        <w:autoSpaceDE/>
        <w:autoSpaceDN/>
        <w:bidi w:val="0"/>
        <w:snapToGrid/>
        <w:spacing w:line="540" w:lineRule="exact"/>
        <w:ind w:left="0" w:firstLine="425"/>
        <w:textAlignment w:val="auto"/>
        <w:rPr>
          <w:rFonts w:cs="仿宋_GB2312" w:asciiTheme="minorEastAsia" w:hAnsiTheme="minorEastAsia" w:eastAsiaTheme="minorEastAsia"/>
          <w:szCs w:val="24"/>
        </w:rPr>
      </w:pPr>
      <w:r>
        <w:rPr>
          <w:rFonts w:hint="eastAsia" w:cs="仿宋_GB2312" w:asciiTheme="minorEastAsia" w:hAnsiTheme="minorEastAsia" w:eastAsiaTheme="minorEastAsia"/>
          <w:szCs w:val="24"/>
        </w:rPr>
        <w:t>测量河道及明渠的河底标高和流水方向、上口及下口线，常水位。</w:t>
      </w:r>
    </w:p>
    <w:p w14:paraId="5C80ABEF">
      <w:pPr>
        <w:pageBreakBefore w:val="0"/>
        <w:numPr>
          <w:ilvl w:val="0"/>
          <w:numId w:val="4"/>
        </w:numPr>
        <w:kinsoku/>
        <w:wordWrap/>
        <w:overflowPunct/>
        <w:topLinePunct w:val="0"/>
        <w:autoSpaceDE/>
        <w:autoSpaceDN/>
        <w:bidi w:val="0"/>
        <w:snapToGrid/>
        <w:spacing w:line="540" w:lineRule="exact"/>
        <w:ind w:left="0" w:firstLine="425"/>
        <w:textAlignment w:val="auto"/>
        <w:rPr>
          <w:rFonts w:cs="仿宋_GB2312" w:asciiTheme="minorEastAsia" w:hAnsiTheme="minorEastAsia" w:eastAsiaTheme="minorEastAsia"/>
          <w:szCs w:val="24"/>
        </w:rPr>
      </w:pPr>
      <w:r>
        <w:rPr>
          <w:rFonts w:hint="eastAsia" w:cs="仿宋_GB2312" w:asciiTheme="minorEastAsia" w:hAnsiTheme="minorEastAsia" w:eastAsiaTheme="minorEastAsia"/>
          <w:szCs w:val="24"/>
        </w:rPr>
        <w:t>项目范围内现状水系测量，干渠、灌溉渠等现状水系。</w:t>
      </w:r>
    </w:p>
    <w:p w14:paraId="50E73D28">
      <w:pPr>
        <w:pStyle w:val="4"/>
        <w:pageBreakBefore w:val="0"/>
        <w:widowControl w:val="0"/>
        <w:kinsoku/>
        <w:wordWrap/>
        <w:overflowPunct/>
        <w:topLinePunct w:val="0"/>
        <w:autoSpaceDE/>
        <w:autoSpaceDN/>
        <w:bidi w:val="0"/>
        <w:snapToGrid/>
        <w:spacing w:line="540" w:lineRule="exact"/>
        <w:ind w:left="0" w:leftChars="0" w:firstLine="482" w:firstLineChars="200"/>
        <w:jc w:val="both"/>
        <w:textAlignment w:val="auto"/>
        <w:rPr>
          <w:rFonts w:cs="仿宋_GB2312" w:asciiTheme="minorEastAsia" w:hAnsiTheme="minorEastAsia" w:eastAsiaTheme="minorEastAsia"/>
          <w:b/>
          <w:bCs/>
          <w:color w:val="auto"/>
          <w:szCs w:val="24"/>
          <w:lang w:eastAsia="zh-Hans"/>
        </w:rPr>
      </w:pPr>
      <w:r>
        <w:rPr>
          <w:rFonts w:hint="eastAsia" w:cs="仿宋_GB2312" w:asciiTheme="minorEastAsia" w:hAnsiTheme="minorEastAsia" w:eastAsiaTheme="minorEastAsia"/>
          <w:b/>
          <w:bCs/>
          <w:color w:val="auto"/>
          <w:szCs w:val="24"/>
        </w:rPr>
        <w:t>2.</w:t>
      </w:r>
      <w:r>
        <w:rPr>
          <w:rFonts w:hint="eastAsia" w:cs="仿宋_GB2312" w:asciiTheme="minorEastAsia" w:hAnsiTheme="minorEastAsia" w:eastAsiaTheme="minorEastAsia"/>
          <w:b/>
          <w:bCs/>
          <w:color w:val="auto"/>
          <w:szCs w:val="24"/>
          <w:lang w:val="en-US" w:eastAsia="zh-CN"/>
        </w:rPr>
        <w:t>3</w:t>
      </w:r>
      <w:r>
        <w:rPr>
          <w:rFonts w:hint="eastAsia" w:cs="仿宋_GB2312" w:asciiTheme="minorEastAsia" w:hAnsiTheme="minorEastAsia" w:eastAsiaTheme="minorEastAsia"/>
          <w:b/>
          <w:bCs/>
          <w:color w:val="auto"/>
          <w:szCs w:val="24"/>
        </w:rPr>
        <w:t>基坑支护、施工降水设计</w:t>
      </w:r>
      <w:r>
        <w:rPr>
          <w:rFonts w:hint="eastAsia" w:cs="仿宋_GB2312" w:asciiTheme="minorEastAsia" w:hAnsiTheme="minorEastAsia" w:eastAsiaTheme="minorEastAsia"/>
          <w:b/>
          <w:bCs/>
          <w:color w:val="auto"/>
          <w:szCs w:val="24"/>
          <w:lang w:eastAsia="zh-Hans"/>
        </w:rPr>
        <w:t>要求</w:t>
      </w:r>
    </w:p>
    <w:p w14:paraId="224A951A">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cs="仿宋_GB2312" w:asciiTheme="minorEastAsia" w:hAnsiTheme="minorEastAsia" w:eastAsiaTheme="minorEastAsia"/>
          <w:color w:val="auto"/>
          <w:szCs w:val="24"/>
        </w:rPr>
      </w:pPr>
      <w:r>
        <w:rPr>
          <w:rFonts w:hint="eastAsia" w:cs="仿宋_GB2312" w:asciiTheme="minorEastAsia" w:hAnsiTheme="minorEastAsia" w:eastAsiaTheme="minorEastAsia"/>
          <w:color w:val="auto"/>
          <w:szCs w:val="24"/>
        </w:rPr>
        <w:t>2.</w:t>
      </w:r>
      <w:r>
        <w:rPr>
          <w:rFonts w:hint="eastAsia" w:cs="仿宋_GB2312" w:asciiTheme="minorEastAsia" w:hAnsiTheme="minorEastAsia" w:eastAsiaTheme="minorEastAsia"/>
          <w:color w:val="auto"/>
          <w:szCs w:val="24"/>
          <w:lang w:val="en-US" w:eastAsia="zh-CN"/>
        </w:rPr>
        <w:t>3</w:t>
      </w:r>
      <w:r>
        <w:rPr>
          <w:rFonts w:hint="eastAsia" w:cs="仿宋_GB2312" w:asciiTheme="minorEastAsia" w:hAnsiTheme="minorEastAsia" w:eastAsiaTheme="minorEastAsia"/>
          <w:color w:val="auto"/>
          <w:szCs w:val="24"/>
        </w:rPr>
        <w:t>.1</w:t>
      </w:r>
      <w:r>
        <w:rPr>
          <w:rFonts w:hint="eastAsia" w:cs="仿宋_GB2312" w:asciiTheme="minorEastAsia" w:hAnsiTheme="minorEastAsia" w:eastAsiaTheme="minorEastAsia"/>
          <w:color w:val="auto"/>
          <w:szCs w:val="24"/>
          <w:lang w:eastAsia="zh-Hans"/>
        </w:rPr>
        <w:t>基坑支护设计</w:t>
      </w:r>
    </w:p>
    <w:p w14:paraId="424476B6">
      <w:pPr>
        <w:pageBreakBefore w:val="0"/>
        <w:widowControl w:val="0"/>
        <w:kinsoku/>
        <w:wordWrap/>
        <w:overflowPunct/>
        <w:topLinePunct w:val="0"/>
        <w:autoSpaceDE/>
        <w:autoSpaceDN/>
        <w:bidi w:val="0"/>
        <w:snapToGrid/>
        <w:spacing w:line="540" w:lineRule="exact"/>
        <w:ind w:left="0" w:firstLine="480" w:firstLineChars="200"/>
        <w:jc w:val="both"/>
        <w:textAlignment w:val="auto"/>
        <w:rPr>
          <w:rFonts w:hint="eastAsia" w:cs="仿宋_GB2312" w:asciiTheme="minorEastAsia" w:hAnsiTheme="minorEastAsia" w:eastAsiaTheme="minorEastAsia"/>
          <w:color w:val="auto"/>
          <w:szCs w:val="24"/>
        </w:rPr>
      </w:pPr>
      <w:r>
        <w:rPr>
          <w:rFonts w:hint="eastAsia" w:cs="仿宋_GB2312" w:asciiTheme="minorEastAsia" w:hAnsiTheme="minorEastAsia" w:eastAsiaTheme="minorEastAsia"/>
          <w:color w:val="auto"/>
          <w:szCs w:val="24"/>
        </w:rPr>
        <w:t>设计内容：基坑支护体系的选择、分析计算及稳定性验算，完成施工图绘制等，具体要求如下：</w:t>
      </w:r>
    </w:p>
    <w:p w14:paraId="77A2C7A9">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cs="仿宋_GB2312" w:asciiTheme="minorEastAsia" w:hAnsiTheme="minorEastAsia" w:eastAsiaTheme="minorEastAsia"/>
          <w:color w:val="auto"/>
          <w:szCs w:val="24"/>
        </w:rPr>
      </w:pPr>
      <w:r>
        <w:rPr>
          <w:rFonts w:hint="eastAsia" w:cs="仿宋_GB2312" w:asciiTheme="minorEastAsia" w:hAnsiTheme="minorEastAsia" w:eastAsiaTheme="minorEastAsia"/>
          <w:color w:val="auto"/>
          <w:szCs w:val="24"/>
        </w:rPr>
        <w:t>1）基于安全、可靠、经济、方便施工的原则，选择合理的基坑支护体系，完成方案设计并提交基坑支护方案论证文本；</w:t>
      </w:r>
    </w:p>
    <w:p w14:paraId="16346AC9">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cs="仿宋_GB2312" w:asciiTheme="minorEastAsia" w:hAnsiTheme="minorEastAsia" w:eastAsiaTheme="minorEastAsia"/>
          <w:color w:val="auto"/>
          <w:szCs w:val="24"/>
        </w:rPr>
      </w:pPr>
      <w:r>
        <w:rPr>
          <w:rFonts w:hint="eastAsia" w:cs="仿宋_GB2312" w:asciiTheme="minorEastAsia" w:hAnsiTheme="minorEastAsia" w:eastAsiaTheme="minorEastAsia"/>
          <w:color w:val="auto"/>
          <w:szCs w:val="24"/>
        </w:rPr>
        <w:t>2）完成基坑支护体系的分析计算（包括支护体系的强度、稳定性、变形等计算）以及基坑内外土体的稳定性验算（关键支护构件尚应进行承载力验算）。计算书的编制应达到国家或行业规定的深度并满足施工图审的要求。</w:t>
      </w:r>
    </w:p>
    <w:p w14:paraId="1F75C83A">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hint="eastAsia" w:cs="仿宋_GB2312" w:asciiTheme="minorEastAsia" w:hAnsiTheme="minorEastAsia" w:eastAsiaTheme="minorEastAsia"/>
          <w:color w:val="auto"/>
          <w:szCs w:val="24"/>
        </w:rPr>
      </w:pPr>
      <w:r>
        <w:rPr>
          <w:rFonts w:hint="eastAsia" w:cs="仿宋_GB2312" w:asciiTheme="minorEastAsia" w:hAnsiTheme="minorEastAsia" w:eastAsiaTheme="minorEastAsia"/>
          <w:color w:val="auto"/>
          <w:szCs w:val="24"/>
        </w:rPr>
        <w:t>3）在支护体系（方案）分析计算的基础上，绘制支护工程施工图纸（包括设计说明、基坑平面图纸图、配筋图、基坑监测点位图纸、节点大样等详图），系统地明确施工应急预案（措施）和相应的施工要求等。</w:t>
      </w:r>
    </w:p>
    <w:p w14:paraId="150B44D3">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hint="eastAsia" w:cs="仿宋_GB2312" w:asciiTheme="minorEastAsia" w:hAnsiTheme="minorEastAsia" w:eastAsiaTheme="minorEastAsia"/>
          <w:color w:val="auto"/>
          <w:szCs w:val="24"/>
          <w:lang w:val="en-US" w:eastAsia="zh-CN"/>
        </w:rPr>
      </w:pPr>
      <w:r>
        <w:rPr>
          <w:rFonts w:hint="eastAsia" w:cs="仿宋_GB2312" w:asciiTheme="minorEastAsia" w:hAnsiTheme="minorEastAsia" w:eastAsiaTheme="minorEastAsia"/>
          <w:color w:val="auto"/>
          <w:szCs w:val="24"/>
          <w:lang w:val="en-US" w:eastAsia="zh-CN"/>
        </w:rPr>
        <w:t>4）基坑支护设计应进行方案对比（含成本、工期、环境影响等角度）供发包人选择。</w:t>
      </w:r>
    </w:p>
    <w:p w14:paraId="10624AD5">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hint="default" w:cs="仿宋_GB2312" w:asciiTheme="minorEastAsia" w:hAnsiTheme="minorEastAsia" w:eastAsiaTheme="minorEastAsia"/>
          <w:color w:val="auto"/>
          <w:szCs w:val="24"/>
          <w:lang w:val="en-US" w:eastAsia="zh-CN"/>
        </w:rPr>
      </w:pPr>
      <w:r>
        <w:rPr>
          <w:rFonts w:hint="eastAsia" w:cs="仿宋_GB2312" w:asciiTheme="minorEastAsia" w:hAnsiTheme="minorEastAsia" w:eastAsiaTheme="minorEastAsia"/>
          <w:color w:val="auto"/>
          <w:szCs w:val="24"/>
          <w:lang w:val="en-US" w:eastAsia="zh-CN"/>
        </w:rPr>
        <w:t>5）如项目所在地周边存在影响基坑支护设计、施工的因素，应由勘察人自行搜集各项资料并牵头联系相关施工、管理方。</w:t>
      </w:r>
    </w:p>
    <w:p w14:paraId="6B9319C8">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cs="仿宋_GB2312" w:asciiTheme="minorEastAsia" w:hAnsiTheme="minorEastAsia" w:eastAsiaTheme="minorEastAsia"/>
          <w:color w:val="auto"/>
          <w:szCs w:val="24"/>
        </w:rPr>
      </w:pPr>
      <w:r>
        <w:rPr>
          <w:rFonts w:hint="eastAsia" w:cs="仿宋_GB2312" w:asciiTheme="minorEastAsia" w:hAnsiTheme="minorEastAsia" w:eastAsiaTheme="minorEastAsia"/>
          <w:color w:val="auto"/>
          <w:szCs w:val="24"/>
        </w:rPr>
        <w:t>此外，勘察人还应系统地对基坑开挖过程引起的基坑内外土体的变形及其对邻近建筑物和周边环境的影响进行分析，论证基坑开挖施工方法的可行性，并在设计成果中系统地提出基坑监测要求以及施工注意事项等；</w:t>
      </w:r>
    </w:p>
    <w:p w14:paraId="73A48F07">
      <w:pPr>
        <w:pStyle w:val="6"/>
        <w:pageBreakBefore w:val="0"/>
        <w:widowControl w:val="0"/>
        <w:numPr>
          <w:ilvl w:val="0"/>
          <w:numId w:val="0"/>
        </w:numPr>
        <w:kinsoku/>
        <w:wordWrap/>
        <w:overflowPunct/>
        <w:topLinePunct w:val="0"/>
        <w:autoSpaceDE/>
        <w:autoSpaceDN/>
        <w:bidi w:val="0"/>
        <w:snapToGrid/>
        <w:spacing w:before="0" w:after="0" w:line="540" w:lineRule="exact"/>
        <w:ind w:left="0" w:leftChars="0" w:firstLine="480" w:firstLineChars="200"/>
        <w:jc w:val="both"/>
        <w:textAlignment w:val="auto"/>
        <w:rPr>
          <w:rFonts w:cs="仿宋_GB2312" w:asciiTheme="minorEastAsia" w:hAnsiTheme="minorEastAsia" w:eastAsiaTheme="minorEastAsia"/>
          <w:color w:val="auto"/>
          <w:szCs w:val="24"/>
        </w:rPr>
      </w:pPr>
      <w:r>
        <w:rPr>
          <w:rFonts w:hint="eastAsia" w:cs="仿宋_GB2312" w:asciiTheme="minorEastAsia" w:hAnsiTheme="minorEastAsia" w:eastAsiaTheme="minorEastAsia"/>
          <w:color w:val="auto"/>
          <w:szCs w:val="24"/>
          <w:lang w:val="en-US" w:eastAsia="zh-CN"/>
        </w:rPr>
        <w:t>(3)</w:t>
      </w:r>
      <w:r>
        <w:rPr>
          <w:rFonts w:hint="eastAsia" w:cs="仿宋_GB2312" w:asciiTheme="minorEastAsia" w:hAnsiTheme="minorEastAsia" w:eastAsiaTheme="minorEastAsia"/>
          <w:color w:val="auto"/>
          <w:szCs w:val="24"/>
        </w:rPr>
        <w:t>勘察人提供的服务及内容，至少包括：</w:t>
      </w:r>
    </w:p>
    <w:p w14:paraId="43665555">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cs="仿宋_GB2312" w:asciiTheme="minorEastAsia" w:hAnsiTheme="minorEastAsia" w:eastAsiaTheme="minorEastAsia"/>
          <w:color w:val="auto"/>
          <w:szCs w:val="24"/>
        </w:rPr>
      </w:pPr>
      <w:r>
        <w:rPr>
          <w:rFonts w:hint="eastAsia" w:cs="仿宋_GB2312" w:asciiTheme="minorEastAsia" w:hAnsiTheme="minorEastAsia" w:eastAsiaTheme="minorEastAsia"/>
          <w:color w:val="auto"/>
          <w:szCs w:val="24"/>
        </w:rPr>
        <w:t>1）根据发包人提供的资料，结合自身设计经验和工程实际情况，提出多个支护方案，并进行支护方案的技术经济比较（各方案的技术经济比较应在各方案的支护体系计算分析并确保可行的前提下进行）；按选定的支护方案编制基坑论证方案（用于基坑方案论证）并对基坑支护、施工降水设计方案进行费用预估测算。</w:t>
      </w:r>
    </w:p>
    <w:p w14:paraId="68431661">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cs="仿宋_GB2312" w:asciiTheme="minorEastAsia" w:hAnsiTheme="minorEastAsia" w:eastAsiaTheme="minorEastAsia"/>
          <w:color w:val="auto"/>
          <w:szCs w:val="24"/>
        </w:rPr>
      </w:pPr>
      <w:r>
        <w:rPr>
          <w:rFonts w:hint="eastAsia" w:cs="仿宋_GB2312" w:asciiTheme="minorEastAsia" w:hAnsiTheme="minorEastAsia" w:eastAsiaTheme="minorEastAsia"/>
          <w:color w:val="auto"/>
          <w:szCs w:val="24"/>
        </w:rPr>
        <w:t>2）结合基坑论证意见，修改完善基坑支护方案，并完成支护工程的施工图设计，为基坑支护工程的施工提供依据；</w:t>
      </w:r>
    </w:p>
    <w:p w14:paraId="79106116">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cs="仿宋_GB2312" w:asciiTheme="minorEastAsia" w:hAnsiTheme="minorEastAsia" w:eastAsiaTheme="minorEastAsia"/>
          <w:color w:val="auto"/>
          <w:szCs w:val="24"/>
        </w:rPr>
      </w:pPr>
      <w:r>
        <w:rPr>
          <w:rFonts w:hint="eastAsia" w:cs="仿宋_GB2312" w:asciiTheme="minorEastAsia" w:hAnsiTheme="minorEastAsia" w:eastAsiaTheme="minorEastAsia"/>
          <w:color w:val="auto"/>
          <w:szCs w:val="24"/>
        </w:rPr>
        <w:t>3）明确基坑支护工程的监测要求，提出有效、经济的基坑监测方案，提供监测点位置及有关监测预警值，协助发包人选择基坑监测单位；</w:t>
      </w:r>
    </w:p>
    <w:p w14:paraId="244CEFF4">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cs="仿宋_GB2312" w:asciiTheme="minorEastAsia" w:hAnsiTheme="minorEastAsia" w:eastAsiaTheme="minorEastAsia"/>
          <w:color w:val="auto"/>
          <w:szCs w:val="24"/>
        </w:rPr>
      </w:pPr>
      <w:r>
        <w:rPr>
          <w:rFonts w:hint="eastAsia" w:cs="仿宋_GB2312" w:asciiTheme="minorEastAsia" w:hAnsiTheme="minorEastAsia" w:eastAsiaTheme="minorEastAsia"/>
          <w:color w:val="auto"/>
          <w:szCs w:val="24"/>
        </w:rPr>
        <w:t>4）参与审核施工单位提交的基坑土方开挖及基坑支护施工方案，提出基坑施工注意事项，确保基坑开挖过程、工艺等与基坑支护设计计算假定条件相吻合；</w:t>
      </w:r>
    </w:p>
    <w:p w14:paraId="28F30EA6">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cs="仿宋_GB2312" w:asciiTheme="minorEastAsia" w:hAnsiTheme="minorEastAsia" w:eastAsiaTheme="minorEastAsia"/>
          <w:color w:val="auto"/>
          <w:szCs w:val="24"/>
        </w:rPr>
      </w:pPr>
      <w:r>
        <w:rPr>
          <w:rFonts w:hint="eastAsia" w:cs="仿宋_GB2312" w:asciiTheme="minorEastAsia" w:hAnsiTheme="minorEastAsia" w:eastAsiaTheme="minorEastAsia"/>
          <w:color w:val="auto"/>
          <w:szCs w:val="24"/>
        </w:rPr>
        <w:t>5）</w:t>
      </w:r>
      <w:r>
        <w:rPr>
          <w:rFonts w:hint="eastAsia" w:cs="仿宋_GB2312" w:asciiTheme="minorEastAsia" w:hAnsiTheme="minorEastAsia" w:eastAsiaTheme="minorEastAsia"/>
          <w:color w:val="auto"/>
          <w:szCs w:val="24"/>
          <w:lang w:eastAsia="zh-Hans"/>
        </w:rPr>
        <w:t>注明涉及危大工程的重点部位和环节，提出保障工程周边环境安全和工程施工安全的意见，必要时候进行专项设计；</w:t>
      </w:r>
    </w:p>
    <w:p w14:paraId="0F5B5D91">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cs="仿宋_GB2312" w:asciiTheme="minorEastAsia" w:hAnsiTheme="minorEastAsia" w:eastAsiaTheme="minorEastAsia"/>
          <w:color w:val="auto"/>
          <w:szCs w:val="24"/>
        </w:rPr>
      </w:pPr>
      <w:r>
        <w:rPr>
          <w:rFonts w:hint="eastAsia" w:cs="仿宋_GB2312" w:asciiTheme="minorEastAsia" w:hAnsiTheme="minorEastAsia" w:eastAsiaTheme="minorEastAsia"/>
          <w:color w:val="auto"/>
          <w:szCs w:val="24"/>
        </w:rPr>
        <w:t>6）及时参与解决基坑开挖及支护施工期间存在的工程技术问题，确保基坑工程施工安全；</w:t>
      </w:r>
    </w:p>
    <w:p w14:paraId="0D9C286B">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hint="eastAsia" w:cs="仿宋_GB2312" w:asciiTheme="minorEastAsia" w:hAnsiTheme="minorEastAsia" w:eastAsiaTheme="minorEastAsia"/>
          <w:color w:val="auto"/>
          <w:szCs w:val="24"/>
        </w:rPr>
      </w:pPr>
      <w:r>
        <w:rPr>
          <w:rFonts w:hint="eastAsia" w:cs="仿宋_GB2312" w:asciiTheme="minorEastAsia" w:hAnsiTheme="minorEastAsia" w:eastAsiaTheme="minorEastAsia"/>
          <w:color w:val="auto"/>
          <w:szCs w:val="24"/>
        </w:rPr>
        <w:t>7）参与基坑支护工程施工过程中的重要节点验收(发包人提前24小时通知）、发表设计方意见。</w:t>
      </w:r>
    </w:p>
    <w:p w14:paraId="6257FA57">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hint="eastAsia" w:ascii="宋体" w:hAnsi="宋体" w:eastAsia="宋体" w:cs="宋体"/>
          <w:b w:val="0"/>
          <w:bCs w:val="0"/>
          <w:color w:val="auto"/>
          <w:szCs w:val="24"/>
          <w:lang w:val="en-US" w:eastAsia="zh-CN"/>
        </w:rPr>
      </w:pPr>
      <w:r>
        <w:rPr>
          <w:rFonts w:hint="eastAsia" w:ascii="宋体" w:hAnsi="宋体" w:eastAsia="宋体" w:cs="宋体"/>
          <w:b w:val="0"/>
          <w:bCs w:val="0"/>
          <w:color w:val="auto"/>
          <w:szCs w:val="24"/>
          <w:lang w:val="en-US" w:eastAsia="zh-CN"/>
        </w:rPr>
        <w:t>2.3.2</w:t>
      </w:r>
      <w:r>
        <w:rPr>
          <w:rFonts w:hint="eastAsia" w:ascii="宋体" w:hAnsi="宋体" w:eastAsia="宋体" w:cs="宋体"/>
          <w:b w:val="0"/>
          <w:bCs w:val="0"/>
          <w:color w:val="auto"/>
          <w:szCs w:val="24"/>
        </w:rPr>
        <w:t>施工降水设计</w:t>
      </w:r>
    </w:p>
    <w:p w14:paraId="04045929">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hint="eastAsia" w:cs="仿宋_GB2312" w:asciiTheme="minorEastAsia" w:hAnsiTheme="minorEastAsia" w:eastAsiaTheme="minorEastAsia"/>
          <w:color w:val="auto"/>
          <w:szCs w:val="24"/>
        </w:rPr>
      </w:pPr>
      <w:r>
        <w:rPr>
          <w:rFonts w:hint="eastAsia" w:cs="仿宋_GB2312" w:asciiTheme="minorEastAsia" w:hAnsiTheme="minorEastAsia" w:eastAsiaTheme="minorEastAsia"/>
          <w:color w:val="auto"/>
          <w:szCs w:val="24"/>
        </w:rPr>
        <w:t>基坑内止（降）水方案应充分考虑到基坑现状及开挖工期影响，选择合理、便捷的方案。</w:t>
      </w:r>
    </w:p>
    <w:p w14:paraId="27E14533">
      <w:pPr>
        <w:pStyle w:val="6"/>
        <w:pageBreakBefore w:val="0"/>
        <w:widowControl w:val="0"/>
        <w:kinsoku/>
        <w:wordWrap/>
        <w:overflowPunct/>
        <w:topLinePunct w:val="0"/>
        <w:autoSpaceDE/>
        <w:autoSpaceDN/>
        <w:bidi w:val="0"/>
        <w:snapToGrid/>
        <w:spacing w:before="0" w:after="0" w:line="540" w:lineRule="exact"/>
        <w:ind w:left="0" w:firstLine="482" w:firstLineChars="200"/>
        <w:jc w:val="both"/>
        <w:textAlignment w:val="auto"/>
        <w:rPr>
          <w:rFonts w:cs="仿宋_GB2312" w:asciiTheme="minorEastAsia" w:hAnsiTheme="minorEastAsia" w:eastAsiaTheme="minorEastAsia"/>
          <w:b/>
          <w:bCs/>
          <w:szCs w:val="24"/>
        </w:rPr>
      </w:pPr>
      <w:r>
        <w:rPr>
          <w:rFonts w:hint="eastAsia" w:cs="仿宋_GB2312" w:asciiTheme="minorEastAsia" w:hAnsiTheme="minorEastAsia" w:eastAsiaTheme="minorEastAsia"/>
          <w:b/>
          <w:bCs/>
          <w:szCs w:val="24"/>
        </w:rPr>
        <w:t>2.</w:t>
      </w:r>
      <w:r>
        <w:rPr>
          <w:rFonts w:hint="eastAsia" w:cs="仿宋_GB2312" w:asciiTheme="minorEastAsia" w:hAnsiTheme="minorEastAsia" w:eastAsiaTheme="minorEastAsia"/>
          <w:b/>
          <w:bCs/>
          <w:szCs w:val="24"/>
          <w:lang w:val="en-US" w:eastAsia="zh-CN"/>
        </w:rPr>
        <w:t>4土壤氡检测</w:t>
      </w:r>
      <w:r>
        <w:rPr>
          <w:rFonts w:hint="eastAsia" w:cs="仿宋_GB2312" w:asciiTheme="minorEastAsia" w:hAnsiTheme="minorEastAsia" w:eastAsiaTheme="minorEastAsia"/>
          <w:b/>
          <w:bCs/>
          <w:szCs w:val="24"/>
          <w:lang w:eastAsia="zh-Hans"/>
        </w:rPr>
        <w:t>要求</w:t>
      </w:r>
    </w:p>
    <w:p w14:paraId="74E9D7BE">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hint="default" w:cs="仿宋_GB2312" w:asciiTheme="minorEastAsia" w:hAnsiTheme="minorEastAsia" w:eastAsiaTheme="minorEastAsia"/>
          <w:color w:val="auto"/>
          <w:szCs w:val="24"/>
          <w:lang w:val="en-US" w:eastAsia="zh-CN"/>
        </w:rPr>
      </w:pPr>
      <w:r>
        <w:rPr>
          <w:rFonts w:hint="eastAsia" w:cs="仿宋_GB2312" w:asciiTheme="minorEastAsia" w:hAnsiTheme="minorEastAsia" w:eastAsiaTheme="minorEastAsia"/>
          <w:color w:val="auto"/>
          <w:szCs w:val="24"/>
          <w:lang w:val="en-US" w:eastAsia="zh-CN"/>
        </w:rPr>
        <w:t>2.4.1</w:t>
      </w:r>
      <w:r>
        <w:rPr>
          <w:rFonts w:hint="default" w:cs="仿宋_GB2312" w:asciiTheme="minorEastAsia" w:hAnsiTheme="minorEastAsia" w:eastAsiaTheme="minorEastAsia"/>
          <w:color w:val="auto"/>
          <w:szCs w:val="24"/>
          <w:lang w:val="en-US" w:eastAsia="zh-CN"/>
        </w:rPr>
        <w:t>检测目的</w:t>
      </w:r>
    </w:p>
    <w:p w14:paraId="68B0D3E1">
      <w:pPr>
        <w:pStyle w:val="6"/>
        <w:keepNext w:val="0"/>
        <w:keepLines w:val="0"/>
        <w:pageBreakBefore w:val="0"/>
        <w:widowControl w:val="0"/>
        <w:kinsoku/>
        <w:wordWrap/>
        <w:overflowPunct/>
        <w:topLinePunct w:val="0"/>
        <w:autoSpaceDE/>
        <w:autoSpaceDN/>
        <w:bidi w:val="0"/>
        <w:adjustRightInd/>
        <w:snapToGrid/>
        <w:spacing w:before="0" w:after="0" w:line="540" w:lineRule="exact"/>
        <w:ind w:left="0" w:firstLine="480" w:firstLineChars="200"/>
        <w:jc w:val="both"/>
        <w:textAlignment w:val="auto"/>
        <w:rPr>
          <w:rFonts w:hint="default" w:cs="仿宋_GB2312" w:asciiTheme="minorEastAsia" w:hAnsiTheme="minorEastAsia" w:eastAsiaTheme="minorEastAsia"/>
          <w:color w:val="auto"/>
          <w:szCs w:val="24"/>
          <w:lang w:val="en-US" w:eastAsia="zh-CN"/>
        </w:rPr>
      </w:pPr>
      <w:r>
        <w:rPr>
          <w:rFonts w:hint="default" w:cs="仿宋_GB2312" w:asciiTheme="minorEastAsia" w:hAnsiTheme="minorEastAsia" w:eastAsiaTheme="minorEastAsia"/>
          <w:color w:val="auto"/>
          <w:szCs w:val="24"/>
          <w:lang w:val="en-US" w:eastAsia="zh-CN"/>
        </w:rPr>
        <w:t>为保障项目建设及后续使用过程中的人居健康与环境安全，依据国家相关规范标准，对项目建设用地范围内的土壤氡浓度进行系统性检测，明确土壤氡含量分布情况，判断其是否满足建筑工程设计与施工的相关要求，为项目总平面布局优化、建筑防氡设计及施工方案制定提供科学依据，避免土壤氡污染对人体健康造成不良影响。</w:t>
      </w:r>
    </w:p>
    <w:p w14:paraId="4CA70991">
      <w:pPr>
        <w:pStyle w:val="6"/>
        <w:keepNext w:val="0"/>
        <w:keepLines w:val="0"/>
        <w:pageBreakBefore w:val="0"/>
        <w:widowControl w:val="0"/>
        <w:kinsoku/>
        <w:wordWrap/>
        <w:overflowPunct/>
        <w:topLinePunct w:val="0"/>
        <w:autoSpaceDE/>
        <w:autoSpaceDN/>
        <w:bidi w:val="0"/>
        <w:adjustRightInd/>
        <w:snapToGrid/>
        <w:spacing w:before="0" w:after="0" w:line="540" w:lineRule="exact"/>
        <w:ind w:left="0" w:firstLine="480" w:firstLineChars="200"/>
        <w:jc w:val="both"/>
        <w:textAlignment w:val="auto"/>
        <w:rPr>
          <w:rFonts w:hint="default" w:cs="仿宋_GB2312" w:asciiTheme="minorEastAsia" w:hAnsiTheme="minorEastAsia" w:eastAsiaTheme="minorEastAsia"/>
          <w:color w:val="auto"/>
          <w:szCs w:val="24"/>
          <w:lang w:val="en-US" w:eastAsia="zh-CN"/>
        </w:rPr>
      </w:pPr>
      <w:r>
        <w:rPr>
          <w:rFonts w:hint="eastAsia" w:cs="仿宋_GB2312" w:asciiTheme="minorEastAsia" w:hAnsiTheme="minorEastAsia" w:eastAsiaTheme="minorEastAsia"/>
          <w:color w:val="auto"/>
          <w:szCs w:val="24"/>
          <w:lang w:val="en-US" w:eastAsia="zh-CN"/>
        </w:rPr>
        <w:t>2.4.2</w:t>
      </w:r>
      <w:r>
        <w:rPr>
          <w:rFonts w:hint="default" w:cs="仿宋_GB2312" w:asciiTheme="minorEastAsia" w:hAnsiTheme="minorEastAsia" w:eastAsiaTheme="minorEastAsia"/>
          <w:color w:val="auto"/>
          <w:szCs w:val="24"/>
          <w:lang w:val="en-US" w:eastAsia="zh-CN"/>
        </w:rPr>
        <w:t>检测依据</w:t>
      </w:r>
    </w:p>
    <w:p w14:paraId="4078B826">
      <w:pPr>
        <w:pStyle w:val="6"/>
        <w:keepNext w:val="0"/>
        <w:keepLines w:val="0"/>
        <w:pageBreakBefore w:val="0"/>
        <w:widowControl w:val="0"/>
        <w:kinsoku/>
        <w:wordWrap/>
        <w:overflowPunct/>
        <w:topLinePunct w:val="0"/>
        <w:autoSpaceDE/>
        <w:autoSpaceDN/>
        <w:bidi w:val="0"/>
        <w:adjustRightInd/>
        <w:snapToGrid/>
        <w:spacing w:before="0" w:after="0" w:line="540" w:lineRule="exact"/>
        <w:ind w:left="0" w:firstLine="480" w:firstLineChars="200"/>
        <w:jc w:val="both"/>
        <w:textAlignment w:val="auto"/>
        <w:rPr>
          <w:rFonts w:hint="default" w:cs="仿宋_GB2312" w:asciiTheme="minorEastAsia" w:hAnsiTheme="minorEastAsia" w:eastAsiaTheme="minorEastAsia"/>
          <w:color w:val="auto"/>
          <w:szCs w:val="24"/>
          <w:lang w:val="en-US" w:eastAsia="zh-CN"/>
        </w:rPr>
      </w:pPr>
      <w:r>
        <w:rPr>
          <w:rFonts w:hint="default" w:cs="仿宋_GB2312" w:asciiTheme="minorEastAsia" w:hAnsiTheme="minorEastAsia" w:eastAsiaTheme="minorEastAsia"/>
          <w:color w:val="auto"/>
          <w:szCs w:val="24"/>
          <w:lang w:val="en-US" w:eastAsia="zh-CN"/>
        </w:rPr>
        <w:t>1. 《民用建筑工程室内环境污染控制标准》（GB 50325-2020）</w:t>
      </w:r>
    </w:p>
    <w:p w14:paraId="530D5098">
      <w:pPr>
        <w:pStyle w:val="6"/>
        <w:keepNext w:val="0"/>
        <w:keepLines w:val="0"/>
        <w:pageBreakBefore w:val="0"/>
        <w:widowControl w:val="0"/>
        <w:kinsoku/>
        <w:wordWrap/>
        <w:overflowPunct/>
        <w:topLinePunct w:val="0"/>
        <w:autoSpaceDE/>
        <w:autoSpaceDN/>
        <w:bidi w:val="0"/>
        <w:adjustRightInd/>
        <w:snapToGrid/>
        <w:spacing w:before="0" w:after="0" w:line="540" w:lineRule="exact"/>
        <w:ind w:left="0" w:firstLine="480" w:firstLineChars="200"/>
        <w:jc w:val="both"/>
        <w:textAlignment w:val="auto"/>
        <w:rPr>
          <w:rFonts w:hint="default" w:cs="仿宋_GB2312" w:asciiTheme="minorEastAsia" w:hAnsiTheme="minorEastAsia" w:eastAsiaTheme="minorEastAsia"/>
          <w:color w:val="auto"/>
          <w:szCs w:val="24"/>
          <w:lang w:val="en-US" w:eastAsia="zh-CN"/>
        </w:rPr>
      </w:pPr>
      <w:r>
        <w:rPr>
          <w:rFonts w:hint="default" w:cs="仿宋_GB2312" w:asciiTheme="minorEastAsia" w:hAnsiTheme="minorEastAsia" w:eastAsiaTheme="minorEastAsia"/>
          <w:color w:val="auto"/>
          <w:szCs w:val="24"/>
          <w:lang w:val="en-US" w:eastAsia="zh-CN"/>
        </w:rPr>
        <w:t>2. 《土壤氡浓度检测技术规范》（HJ/T 166-2004）</w:t>
      </w:r>
    </w:p>
    <w:p w14:paraId="2C4C64E2">
      <w:pPr>
        <w:pStyle w:val="6"/>
        <w:keepNext w:val="0"/>
        <w:keepLines w:val="0"/>
        <w:pageBreakBefore w:val="0"/>
        <w:widowControl w:val="0"/>
        <w:kinsoku/>
        <w:wordWrap/>
        <w:overflowPunct/>
        <w:topLinePunct w:val="0"/>
        <w:autoSpaceDE/>
        <w:autoSpaceDN/>
        <w:bidi w:val="0"/>
        <w:adjustRightInd/>
        <w:snapToGrid/>
        <w:spacing w:before="0" w:after="0" w:line="540" w:lineRule="exact"/>
        <w:ind w:firstLine="480" w:firstLineChars="200"/>
        <w:jc w:val="both"/>
        <w:textAlignment w:val="auto"/>
        <w:rPr>
          <w:rFonts w:hint="default" w:cs="仿宋_GB2312" w:asciiTheme="minorEastAsia" w:hAnsiTheme="minorEastAsia" w:eastAsiaTheme="minorEastAsia"/>
          <w:color w:val="auto"/>
          <w:szCs w:val="24"/>
          <w:lang w:val="en-US" w:eastAsia="zh-CN"/>
        </w:rPr>
      </w:pPr>
      <w:r>
        <w:rPr>
          <w:rFonts w:hint="default" w:cs="仿宋_GB2312" w:asciiTheme="minorEastAsia" w:hAnsiTheme="minorEastAsia" w:eastAsiaTheme="minorEastAsia"/>
          <w:color w:val="auto"/>
          <w:szCs w:val="24"/>
          <w:lang w:val="en-US" w:eastAsia="zh-CN"/>
        </w:rPr>
        <w:t>3. 《建筑地基基础工程施工质量验收标准》（GB 50202-2018）</w:t>
      </w:r>
    </w:p>
    <w:p w14:paraId="34DC26E1">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hint="default" w:cs="仿宋_GB2312" w:asciiTheme="minorEastAsia" w:hAnsiTheme="minorEastAsia" w:eastAsiaTheme="minorEastAsia"/>
          <w:color w:val="auto"/>
          <w:szCs w:val="24"/>
          <w:lang w:val="en-US" w:eastAsia="zh-CN"/>
        </w:rPr>
      </w:pPr>
      <w:r>
        <w:rPr>
          <w:rFonts w:hint="default" w:cs="仿宋_GB2312" w:asciiTheme="minorEastAsia" w:hAnsiTheme="minorEastAsia" w:eastAsiaTheme="minorEastAsia"/>
          <w:color w:val="auto"/>
          <w:szCs w:val="24"/>
          <w:lang w:val="en-US" w:eastAsia="zh-CN"/>
        </w:rPr>
        <w:t>4. 《岩土工程勘察规范》（GB 50021-2001，2009年版）</w:t>
      </w:r>
    </w:p>
    <w:p w14:paraId="703D5BEA">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hint="default" w:cs="仿宋_GB2312" w:asciiTheme="minorEastAsia" w:hAnsiTheme="minorEastAsia" w:eastAsiaTheme="minorEastAsia"/>
          <w:color w:val="auto"/>
          <w:szCs w:val="24"/>
          <w:lang w:val="en-US" w:eastAsia="zh-CN"/>
        </w:rPr>
      </w:pPr>
      <w:r>
        <w:rPr>
          <w:rFonts w:hint="default" w:cs="仿宋_GB2312" w:asciiTheme="minorEastAsia" w:hAnsiTheme="minorEastAsia" w:eastAsiaTheme="minorEastAsia"/>
          <w:color w:val="auto"/>
          <w:szCs w:val="24"/>
          <w:lang w:val="en-US" w:eastAsia="zh-CN"/>
        </w:rPr>
        <w:t>三、检测范围与对象</w:t>
      </w:r>
    </w:p>
    <w:p w14:paraId="2FD1D935">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hint="default" w:cs="仿宋_GB2312" w:asciiTheme="minorEastAsia" w:hAnsiTheme="minorEastAsia" w:eastAsiaTheme="minorEastAsia"/>
          <w:color w:val="auto"/>
          <w:szCs w:val="24"/>
          <w:lang w:val="en-US" w:eastAsia="zh-CN"/>
        </w:rPr>
      </w:pPr>
      <w:r>
        <w:rPr>
          <w:rFonts w:hint="default" w:cs="仿宋_GB2312" w:asciiTheme="minorEastAsia" w:hAnsiTheme="minorEastAsia" w:eastAsiaTheme="minorEastAsia"/>
          <w:color w:val="auto"/>
          <w:szCs w:val="24"/>
          <w:lang w:val="en-US" w:eastAsia="zh-CN"/>
        </w:rPr>
        <w:t>（一）检测范围</w:t>
      </w:r>
    </w:p>
    <w:p w14:paraId="51BBDE2F">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hint="default" w:cs="仿宋_GB2312" w:asciiTheme="minorEastAsia" w:hAnsiTheme="minorEastAsia" w:eastAsiaTheme="minorEastAsia"/>
          <w:color w:val="auto"/>
          <w:szCs w:val="24"/>
          <w:lang w:val="en-US" w:eastAsia="zh-CN"/>
        </w:rPr>
      </w:pPr>
      <w:r>
        <w:rPr>
          <w:rFonts w:hint="default" w:cs="仿宋_GB2312" w:asciiTheme="minorEastAsia" w:hAnsiTheme="minorEastAsia" w:eastAsiaTheme="minorEastAsia"/>
          <w:color w:val="auto"/>
          <w:szCs w:val="24"/>
          <w:lang w:val="en-US" w:eastAsia="zh-CN"/>
        </w:rPr>
        <w:t>项目建设用地红线范围内全部区域，总面积以项目规划用地红线为准。</w:t>
      </w:r>
    </w:p>
    <w:p w14:paraId="2AF75EF5">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hint="default" w:cs="仿宋_GB2312" w:asciiTheme="minorEastAsia" w:hAnsiTheme="minorEastAsia" w:eastAsiaTheme="minorEastAsia"/>
          <w:color w:val="auto"/>
          <w:szCs w:val="24"/>
          <w:lang w:val="en-US" w:eastAsia="zh-CN"/>
        </w:rPr>
      </w:pPr>
      <w:r>
        <w:rPr>
          <w:rFonts w:hint="default" w:cs="仿宋_GB2312" w:asciiTheme="minorEastAsia" w:hAnsiTheme="minorEastAsia" w:eastAsiaTheme="minorEastAsia"/>
          <w:color w:val="auto"/>
          <w:szCs w:val="24"/>
          <w:lang w:val="en-US" w:eastAsia="zh-CN"/>
        </w:rPr>
        <w:t>（二）检测对象</w:t>
      </w:r>
    </w:p>
    <w:p w14:paraId="1BA52A0C">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hint="default" w:cs="仿宋_GB2312" w:asciiTheme="minorEastAsia" w:hAnsiTheme="minorEastAsia" w:eastAsiaTheme="minorEastAsia"/>
          <w:color w:val="auto"/>
          <w:szCs w:val="24"/>
          <w:lang w:val="en-US" w:eastAsia="zh-CN"/>
        </w:rPr>
      </w:pPr>
      <w:r>
        <w:rPr>
          <w:rFonts w:hint="default" w:cs="仿宋_GB2312" w:asciiTheme="minorEastAsia" w:hAnsiTheme="minorEastAsia" w:eastAsiaTheme="minorEastAsia"/>
          <w:color w:val="auto"/>
          <w:szCs w:val="24"/>
          <w:lang w:val="en-US" w:eastAsia="zh-CN"/>
        </w:rPr>
        <w:t>检测范围内0-1.5m深度范围内的土壤层，重点针对地下工程（地下设备用房）占地范围、既有厂房拆除后地基扰动区域、土壤质地不均匀区域等关键部位的土壤进行氡浓度检测。</w:t>
      </w:r>
    </w:p>
    <w:p w14:paraId="06D09E03">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hint="default" w:cs="仿宋_GB2312" w:asciiTheme="minorEastAsia" w:hAnsiTheme="minorEastAsia" w:eastAsiaTheme="minorEastAsia"/>
          <w:color w:val="auto"/>
          <w:szCs w:val="24"/>
          <w:lang w:val="en-US" w:eastAsia="zh-CN"/>
        </w:rPr>
      </w:pPr>
      <w:r>
        <w:rPr>
          <w:rFonts w:hint="default" w:cs="仿宋_GB2312" w:asciiTheme="minorEastAsia" w:hAnsiTheme="minorEastAsia" w:eastAsiaTheme="minorEastAsia"/>
          <w:color w:val="auto"/>
          <w:szCs w:val="24"/>
          <w:lang w:val="en-US" w:eastAsia="zh-CN"/>
        </w:rPr>
        <w:t>四、检测工作要求</w:t>
      </w:r>
    </w:p>
    <w:p w14:paraId="1AD7BFF7">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hint="default" w:cs="仿宋_GB2312" w:asciiTheme="minorEastAsia" w:hAnsiTheme="minorEastAsia" w:eastAsiaTheme="minorEastAsia"/>
          <w:color w:val="auto"/>
          <w:szCs w:val="24"/>
          <w:lang w:val="en-US" w:eastAsia="zh-CN"/>
        </w:rPr>
      </w:pPr>
      <w:r>
        <w:rPr>
          <w:rFonts w:hint="default" w:cs="仿宋_GB2312" w:asciiTheme="minorEastAsia" w:hAnsiTheme="minorEastAsia" w:eastAsiaTheme="minorEastAsia"/>
          <w:color w:val="auto"/>
          <w:szCs w:val="24"/>
          <w:lang w:val="en-US" w:eastAsia="zh-CN"/>
        </w:rPr>
        <w:t>（一）布点原则</w:t>
      </w:r>
    </w:p>
    <w:p w14:paraId="592F507B">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hint="default" w:cs="仿宋_GB2312" w:asciiTheme="minorEastAsia" w:hAnsiTheme="minorEastAsia" w:eastAsiaTheme="minorEastAsia"/>
          <w:color w:val="auto"/>
          <w:szCs w:val="24"/>
          <w:lang w:val="en-US" w:eastAsia="zh-CN"/>
        </w:rPr>
      </w:pPr>
      <w:r>
        <w:rPr>
          <w:rFonts w:hint="default" w:cs="仿宋_GB2312" w:asciiTheme="minorEastAsia" w:hAnsiTheme="minorEastAsia" w:eastAsiaTheme="minorEastAsia"/>
          <w:color w:val="auto"/>
          <w:szCs w:val="24"/>
          <w:lang w:val="en-US" w:eastAsia="zh-CN"/>
        </w:rPr>
        <w:t>1. 布点应遵循“均匀分布、重点覆盖”的原则，结合项目地形地貌、土壤类型、建设布局等因素合理设置检测点，确保检测点能全面反映整个场地的土壤氡浓度水平。</w:t>
      </w:r>
    </w:p>
    <w:p w14:paraId="08E4F0DD">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hint="eastAsia" w:cs="仿宋_GB2312" w:asciiTheme="minorEastAsia" w:hAnsiTheme="minorEastAsia" w:eastAsiaTheme="minorEastAsia"/>
          <w:color w:val="auto"/>
          <w:szCs w:val="24"/>
          <w:lang w:val="en-US" w:eastAsia="zh-CN"/>
        </w:rPr>
      </w:pPr>
      <w:r>
        <w:rPr>
          <w:rFonts w:hint="eastAsia" w:cs="仿宋_GB2312" w:asciiTheme="minorEastAsia" w:hAnsiTheme="minorEastAsia" w:eastAsiaTheme="minorEastAsia"/>
          <w:color w:val="auto"/>
          <w:szCs w:val="24"/>
          <w:lang w:val="en-US" w:eastAsia="zh-CN"/>
        </w:rPr>
        <w:t>2</w:t>
      </w:r>
      <w:r>
        <w:rPr>
          <w:rFonts w:hint="default" w:cs="仿宋_GB2312" w:asciiTheme="minorEastAsia" w:hAnsiTheme="minorEastAsia" w:eastAsiaTheme="minorEastAsia"/>
          <w:color w:val="auto"/>
          <w:szCs w:val="24"/>
          <w:lang w:val="en-US" w:eastAsia="zh-CN"/>
        </w:rPr>
        <w:t xml:space="preserve">. </w:t>
      </w:r>
      <w:r>
        <w:rPr>
          <w:rFonts w:hint="eastAsia" w:cs="仿宋_GB2312" w:asciiTheme="minorEastAsia" w:hAnsiTheme="minorEastAsia" w:eastAsiaTheme="minorEastAsia"/>
          <w:color w:val="auto"/>
          <w:szCs w:val="24"/>
          <w:lang w:val="en-US" w:eastAsia="zh-CN"/>
        </w:rPr>
        <w:t>在满足规范的前提下，</w:t>
      </w:r>
      <w:r>
        <w:rPr>
          <w:rFonts w:hint="default" w:cs="仿宋_GB2312" w:asciiTheme="minorEastAsia" w:hAnsiTheme="minorEastAsia" w:eastAsiaTheme="minorEastAsia"/>
          <w:color w:val="auto"/>
          <w:szCs w:val="24"/>
          <w:lang w:val="en-US" w:eastAsia="zh-CN"/>
        </w:rPr>
        <w:t>拟建地下设备用房区域、既有厂房拆除扰动区域等重点区域加密布点，</w:t>
      </w:r>
      <w:r>
        <w:rPr>
          <w:rFonts w:hint="eastAsia" w:cs="仿宋_GB2312" w:asciiTheme="minorEastAsia" w:hAnsiTheme="minorEastAsia" w:eastAsiaTheme="minorEastAsia"/>
          <w:color w:val="auto"/>
          <w:szCs w:val="24"/>
          <w:lang w:val="en-US" w:eastAsia="zh-CN"/>
        </w:rPr>
        <w:t>基础网格间距10m x 10m，偏离≤</w:t>
      </w:r>
      <w:r>
        <w:rPr>
          <w:rFonts w:hint="eastAsia" w:ascii="微软雅黑" w:hAnsi="微软雅黑" w:eastAsia="微软雅黑" w:cs="微软雅黑"/>
          <w:color w:val="auto"/>
          <w:szCs w:val="24"/>
          <w:lang w:val="en-US" w:eastAsia="zh-CN"/>
        </w:rPr>
        <w:t>±</w:t>
      </w:r>
      <w:r>
        <w:rPr>
          <w:rFonts w:hint="eastAsia" w:cs="仿宋_GB2312" w:asciiTheme="minorEastAsia" w:hAnsiTheme="minorEastAsia" w:eastAsiaTheme="minorEastAsia"/>
          <w:color w:val="auto"/>
          <w:szCs w:val="24"/>
          <w:lang w:val="en-US" w:eastAsia="zh-CN"/>
        </w:rPr>
        <w:t>2m。</w:t>
      </w:r>
    </w:p>
    <w:p w14:paraId="294B96BB">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hint="default" w:cs="仿宋_GB2312" w:asciiTheme="minorEastAsia" w:hAnsiTheme="minorEastAsia" w:eastAsiaTheme="minorEastAsia"/>
          <w:color w:val="auto"/>
          <w:szCs w:val="24"/>
          <w:lang w:val="en-US" w:eastAsia="zh-CN"/>
        </w:rPr>
      </w:pPr>
      <w:r>
        <w:rPr>
          <w:rFonts w:hint="default" w:cs="仿宋_GB2312" w:asciiTheme="minorEastAsia" w:hAnsiTheme="minorEastAsia" w:eastAsiaTheme="minorEastAsia"/>
          <w:color w:val="auto"/>
          <w:szCs w:val="24"/>
          <w:lang w:val="en-US" w:eastAsia="zh-CN"/>
        </w:rPr>
        <w:t>3. 项目用地范围形状不规则或存在明显土壤异常区域，应适当增加检测点数量，确保检测覆盖无盲区。</w:t>
      </w:r>
    </w:p>
    <w:p w14:paraId="35114BC1">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hint="default" w:cs="仿宋_GB2312" w:asciiTheme="minorEastAsia" w:hAnsiTheme="minorEastAsia" w:eastAsiaTheme="minorEastAsia"/>
          <w:color w:val="auto"/>
          <w:szCs w:val="24"/>
          <w:lang w:val="en-US" w:eastAsia="zh-CN"/>
        </w:rPr>
      </w:pPr>
      <w:r>
        <w:rPr>
          <w:rFonts w:hint="default" w:cs="仿宋_GB2312" w:asciiTheme="minorEastAsia" w:hAnsiTheme="minorEastAsia" w:eastAsiaTheme="minorEastAsia"/>
          <w:color w:val="auto"/>
          <w:szCs w:val="24"/>
          <w:lang w:val="en-US" w:eastAsia="zh-CN"/>
        </w:rPr>
        <w:t>4. 检测点应避开地下管线、构筑物基础、回填土集中区域等干扰因素，若无法避开需在检测报告中注明。</w:t>
      </w:r>
    </w:p>
    <w:p w14:paraId="05465BB6">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hint="default" w:cs="仿宋_GB2312" w:asciiTheme="minorEastAsia" w:hAnsiTheme="minorEastAsia" w:eastAsiaTheme="minorEastAsia"/>
          <w:color w:val="auto"/>
          <w:szCs w:val="24"/>
          <w:lang w:val="en-US" w:eastAsia="zh-CN"/>
        </w:rPr>
      </w:pPr>
      <w:r>
        <w:rPr>
          <w:rFonts w:hint="default" w:cs="仿宋_GB2312" w:asciiTheme="minorEastAsia" w:hAnsiTheme="minorEastAsia" w:eastAsiaTheme="minorEastAsia"/>
          <w:color w:val="auto"/>
          <w:szCs w:val="24"/>
          <w:lang w:val="en-US" w:eastAsia="zh-CN"/>
        </w:rPr>
        <w:t>（二）样品采集与处理</w:t>
      </w:r>
    </w:p>
    <w:p w14:paraId="2466A3B0">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hint="default" w:cs="仿宋_GB2312" w:asciiTheme="minorEastAsia" w:hAnsiTheme="minorEastAsia" w:eastAsiaTheme="minorEastAsia"/>
          <w:color w:val="auto"/>
          <w:szCs w:val="24"/>
          <w:lang w:val="en-US" w:eastAsia="zh-CN"/>
        </w:rPr>
      </w:pPr>
      <w:r>
        <w:rPr>
          <w:rFonts w:hint="default" w:cs="仿宋_GB2312" w:asciiTheme="minorEastAsia" w:hAnsiTheme="minorEastAsia" w:eastAsiaTheme="minorEastAsia"/>
          <w:color w:val="auto"/>
          <w:szCs w:val="24"/>
          <w:lang w:val="en-US" w:eastAsia="zh-CN"/>
        </w:rPr>
        <w:t>1. 采用钻孔法采集土壤样品，钻孔直径为50-100mm，钻孔深度为1.5m，当钻孔过程中遇到岩层或硬土层无法达到设计深度时，应记录实际深度，并在该区域周边增设检测点。</w:t>
      </w:r>
    </w:p>
    <w:p w14:paraId="19273011">
      <w:pPr>
        <w:pStyle w:val="6"/>
        <w:pageBreakBefore w:val="0"/>
        <w:widowControl w:val="0"/>
        <w:kinsoku/>
        <w:wordWrap/>
        <w:overflowPunct/>
        <w:topLinePunct w:val="0"/>
        <w:autoSpaceDE/>
        <w:autoSpaceDN/>
        <w:bidi w:val="0"/>
        <w:snapToGrid/>
        <w:spacing w:before="0" w:after="0" w:line="540" w:lineRule="exact"/>
        <w:ind w:firstLine="480" w:firstLineChars="200"/>
        <w:jc w:val="both"/>
        <w:textAlignment w:val="auto"/>
        <w:rPr>
          <w:rFonts w:hint="default" w:cs="仿宋_GB2312" w:asciiTheme="minorEastAsia" w:hAnsiTheme="minorEastAsia" w:eastAsiaTheme="minorEastAsia"/>
          <w:color w:val="auto"/>
          <w:szCs w:val="24"/>
          <w:lang w:val="en-US" w:eastAsia="zh-CN"/>
        </w:rPr>
      </w:pPr>
      <w:r>
        <w:rPr>
          <w:rFonts w:hint="default" w:cs="仿宋_GB2312" w:asciiTheme="minorEastAsia" w:hAnsiTheme="minorEastAsia" w:eastAsiaTheme="minorEastAsia"/>
          <w:color w:val="auto"/>
          <w:szCs w:val="24"/>
          <w:lang w:val="en-US" w:eastAsia="zh-CN"/>
        </w:rPr>
        <w:t>2. 钻孔完成后，清除孔内杂物及浮土，待孔内空气稳定30分钟后，采用土壤氡采样器采集孔内气体样品，每个检测点采集3个平行样品，采样过程应严格按照《土壤氡浓度检测技术规范》（HJ/T 166-2004）操作。</w:t>
      </w:r>
    </w:p>
    <w:p w14:paraId="0F0BEBE8">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hint="default" w:cs="仿宋_GB2312" w:asciiTheme="minorEastAsia" w:hAnsiTheme="minorEastAsia" w:eastAsiaTheme="minorEastAsia"/>
          <w:color w:val="auto"/>
          <w:szCs w:val="24"/>
          <w:lang w:val="en-US" w:eastAsia="zh-CN"/>
        </w:rPr>
      </w:pPr>
      <w:r>
        <w:rPr>
          <w:rFonts w:hint="default" w:cs="仿宋_GB2312" w:asciiTheme="minorEastAsia" w:hAnsiTheme="minorEastAsia" w:eastAsiaTheme="minorEastAsia"/>
          <w:color w:val="auto"/>
          <w:szCs w:val="24"/>
          <w:lang w:val="en-US" w:eastAsia="zh-CN"/>
        </w:rPr>
        <w:t>3. 样品采集后应立即密封，做好标识（注明检测点编号、采样深度、采样时间、采样人员等信息），在24小时内完成检测分析，避免样品变质或氡气泄漏影响检测结果。</w:t>
      </w:r>
    </w:p>
    <w:p w14:paraId="06C0B174">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hint="default" w:cs="仿宋_GB2312" w:asciiTheme="minorEastAsia" w:hAnsiTheme="minorEastAsia" w:eastAsiaTheme="minorEastAsia"/>
          <w:color w:val="auto"/>
          <w:szCs w:val="24"/>
          <w:lang w:val="en-US" w:eastAsia="zh-CN"/>
        </w:rPr>
      </w:pPr>
      <w:r>
        <w:rPr>
          <w:rFonts w:hint="default" w:cs="仿宋_GB2312" w:asciiTheme="minorEastAsia" w:hAnsiTheme="minorEastAsia" w:eastAsiaTheme="minorEastAsia"/>
          <w:color w:val="auto"/>
          <w:szCs w:val="24"/>
          <w:lang w:val="en-US" w:eastAsia="zh-CN"/>
        </w:rPr>
        <w:t>（三）检测方法与仪器</w:t>
      </w:r>
    </w:p>
    <w:p w14:paraId="469CBA9A">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hint="default" w:cs="仿宋_GB2312" w:asciiTheme="minorEastAsia" w:hAnsiTheme="minorEastAsia" w:eastAsiaTheme="minorEastAsia"/>
          <w:color w:val="auto"/>
          <w:szCs w:val="24"/>
          <w:lang w:val="en-US" w:eastAsia="zh-CN"/>
        </w:rPr>
      </w:pPr>
      <w:r>
        <w:rPr>
          <w:rFonts w:hint="default" w:cs="仿宋_GB2312" w:asciiTheme="minorEastAsia" w:hAnsiTheme="minorEastAsia" w:eastAsiaTheme="minorEastAsia"/>
          <w:color w:val="auto"/>
          <w:szCs w:val="24"/>
          <w:lang w:val="en-US" w:eastAsia="zh-CN"/>
        </w:rPr>
        <w:t>1. 检测方法采用静电收集法或电离室法，具体方法应符合《土壤氡浓度检测技术规范》（HJ/T 166-2004）的相关要求，确保检测结果的准确性和可靠性。</w:t>
      </w:r>
    </w:p>
    <w:p w14:paraId="21AB1C6C">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hint="default" w:cs="仿宋_GB2312" w:asciiTheme="minorEastAsia" w:hAnsiTheme="minorEastAsia" w:eastAsiaTheme="minorEastAsia"/>
          <w:color w:val="auto"/>
          <w:szCs w:val="24"/>
          <w:lang w:val="en-US" w:eastAsia="zh-CN"/>
        </w:rPr>
      </w:pPr>
      <w:r>
        <w:rPr>
          <w:rFonts w:hint="default" w:cs="仿宋_GB2312" w:asciiTheme="minorEastAsia" w:hAnsiTheme="minorEastAsia" w:eastAsiaTheme="minorEastAsia"/>
          <w:color w:val="auto"/>
          <w:szCs w:val="24"/>
          <w:lang w:val="en-US" w:eastAsia="zh-CN"/>
        </w:rPr>
        <w:t>2. 检测仪器应经法定计量机构校准合格并在有效期内，仪器量程、精度等技术指标应满足本项目检测需求，检测前应对仪器进行调试和性能检验，确保仪器正常运行。</w:t>
      </w:r>
    </w:p>
    <w:p w14:paraId="06349C0B">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hint="default" w:cs="仿宋_GB2312" w:asciiTheme="minorEastAsia" w:hAnsiTheme="minorEastAsia" w:eastAsiaTheme="minorEastAsia"/>
          <w:color w:val="auto"/>
          <w:szCs w:val="24"/>
          <w:lang w:val="en-US" w:eastAsia="zh-CN"/>
        </w:rPr>
      </w:pPr>
      <w:r>
        <w:rPr>
          <w:rFonts w:hint="default" w:cs="仿宋_GB2312" w:asciiTheme="minorEastAsia" w:hAnsiTheme="minorEastAsia" w:eastAsiaTheme="minorEastAsia"/>
          <w:color w:val="auto"/>
          <w:szCs w:val="24"/>
          <w:lang w:val="en-US" w:eastAsia="zh-CN"/>
        </w:rPr>
        <w:t>3. 检测过程中应进行质量控制，每批次样品应设置空白样品和标准样品进行比对试验，空白样品检测结果应符合要求，标准样品回收率应在90%-110%之间。</w:t>
      </w:r>
    </w:p>
    <w:p w14:paraId="37A4498C">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hint="default" w:cs="仿宋_GB2312" w:asciiTheme="minorEastAsia" w:hAnsiTheme="minorEastAsia" w:eastAsiaTheme="minorEastAsia"/>
          <w:color w:val="auto"/>
          <w:szCs w:val="24"/>
          <w:lang w:val="en-US" w:eastAsia="zh-CN"/>
        </w:rPr>
      </w:pPr>
      <w:r>
        <w:rPr>
          <w:rFonts w:hint="default" w:cs="仿宋_GB2312" w:asciiTheme="minorEastAsia" w:hAnsiTheme="minorEastAsia" w:eastAsiaTheme="minorEastAsia"/>
          <w:color w:val="auto"/>
          <w:szCs w:val="24"/>
          <w:lang w:val="en-US" w:eastAsia="zh-CN"/>
        </w:rPr>
        <w:t>（四）检测周期</w:t>
      </w:r>
    </w:p>
    <w:p w14:paraId="5033CED9">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hint="default" w:cs="仿宋_GB2312" w:asciiTheme="minorEastAsia" w:hAnsiTheme="minorEastAsia" w:eastAsiaTheme="minorEastAsia"/>
          <w:color w:val="auto"/>
          <w:szCs w:val="24"/>
          <w:lang w:val="en-US" w:eastAsia="zh-CN"/>
        </w:rPr>
      </w:pPr>
      <w:r>
        <w:rPr>
          <w:rFonts w:hint="default" w:cs="仿宋_GB2312" w:asciiTheme="minorEastAsia" w:hAnsiTheme="minorEastAsia" w:eastAsiaTheme="minorEastAsia"/>
          <w:color w:val="auto"/>
          <w:szCs w:val="24"/>
          <w:lang w:val="en-US" w:eastAsia="zh-CN"/>
        </w:rPr>
        <w:t>1. 检测单位应在接到检测任务后3个工作日内完成检测方案编制并报建设单位审核确认。</w:t>
      </w:r>
    </w:p>
    <w:p w14:paraId="23B845DC">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hint="default" w:cs="仿宋_GB2312" w:asciiTheme="minorEastAsia" w:hAnsiTheme="minorEastAsia" w:eastAsiaTheme="minorEastAsia"/>
          <w:color w:val="auto"/>
          <w:szCs w:val="24"/>
          <w:lang w:val="en-US" w:eastAsia="zh-CN"/>
        </w:rPr>
      </w:pPr>
      <w:r>
        <w:rPr>
          <w:rFonts w:hint="default" w:cs="仿宋_GB2312" w:asciiTheme="minorEastAsia" w:hAnsiTheme="minorEastAsia" w:eastAsiaTheme="minorEastAsia"/>
          <w:color w:val="auto"/>
          <w:szCs w:val="24"/>
          <w:lang w:val="en-US" w:eastAsia="zh-CN"/>
        </w:rPr>
        <w:t>2. 样品采集工作应在建设单位指定时间内完成，原则上不超过5个工作日，具体根据现场施工进度及天气情况调整。</w:t>
      </w:r>
    </w:p>
    <w:p w14:paraId="29AF10F6">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hint="default" w:cs="仿宋_GB2312" w:asciiTheme="minorEastAsia" w:hAnsiTheme="minorEastAsia" w:eastAsiaTheme="minorEastAsia"/>
          <w:color w:val="auto"/>
          <w:szCs w:val="24"/>
          <w:lang w:val="en-US" w:eastAsia="zh-CN"/>
        </w:rPr>
      </w:pPr>
      <w:r>
        <w:rPr>
          <w:rFonts w:hint="default" w:cs="仿宋_GB2312" w:asciiTheme="minorEastAsia" w:hAnsiTheme="minorEastAsia" w:eastAsiaTheme="minorEastAsia"/>
          <w:color w:val="auto"/>
          <w:szCs w:val="24"/>
          <w:lang w:val="en-US" w:eastAsia="zh-CN"/>
        </w:rPr>
        <w:t>3. 检测分析工作应在样品采集完成后2个工作日内完成，检测报告应在检测分析结束后5个工作日内提交建设单位。</w:t>
      </w:r>
    </w:p>
    <w:p w14:paraId="28325898">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hint="default" w:cs="仿宋_GB2312" w:asciiTheme="minorEastAsia" w:hAnsiTheme="minorEastAsia" w:eastAsiaTheme="minorEastAsia"/>
          <w:color w:val="auto"/>
          <w:szCs w:val="24"/>
          <w:lang w:val="en-US" w:eastAsia="zh-CN"/>
        </w:rPr>
      </w:pPr>
      <w:r>
        <w:rPr>
          <w:rFonts w:hint="default" w:cs="仿宋_GB2312" w:asciiTheme="minorEastAsia" w:hAnsiTheme="minorEastAsia" w:eastAsiaTheme="minorEastAsia"/>
          <w:color w:val="auto"/>
          <w:szCs w:val="24"/>
          <w:lang w:val="en-US" w:eastAsia="zh-CN"/>
        </w:rPr>
        <w:t>五、检测成果要求</w:t>
      </w:r>
    </w:p>
    <w:p w14:paraId="5C950D1F">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hint="default" w:cs="仿宋_GB2312" w:asciiTheme="minorEastAsia" w:hAnsiTheme="minorEastAsia" w:eastAsiaTheme="minorEastAsia"/>
          <w:color w:val="auto"/>
          <w:szCs w:val="24"/>
          <w:lang w:val="en-US" w:eastAsia="zh-CN"/>
        </w:rPr>
      </w:pPr>
      <w:r>
        <w:rPr>
          <w:rFonts w:hint="default" w:cs="仿宋_GB2312" w:asciiTheme="minorEastAsia" w:hAnsiTheme="minorEastAsia" w:eastAsiaTheme="minorEastAsia"/>
          <w:color w:val="auto"/>
          <w:szCs w:val="24"/>
          <w:lang w:val="en-US" w:eastAsia="zh-CN"/>
        </w:rPr>
        <w:t>（一）检测报告内容</w:t>
      </w:r>
    </w:p>
    <w:p w14:paraId="4E86FE19">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hint="default" w:cs="仿宋_GB2312" w:asciiTheme="minorEastAsia" w:hAnsiTheme="minorEastAsia" w:eastAsiaTheme="minorEastAsia"/>
          <w:color w:val="auto"/>
          <w:szCs w:val="24"/>
          <w:lang w:val="en-US" w:eastAsia="zh-CN"/>
        </w:rPr>
      </w:pPr>
      <w:r>
        <w:rPr>
          <w:rFonts w:hint="default" w:cs="仿宋_GB2312" w:asciiTheme="minorEastAsia" w:hAnsiTheme="minorEastAsia" w:eastAsiaTheme="minorEastAsia"/>
          <w:color w:val="auto"/>
          <w:szCs w:val="24"/>
          <w:lang w:val="en-US" w:eastAsia="zh-CN"/>
        </w:rPr>
        <w:t>1. 项目概况：包括项目名称、建设地点、建设规模、建设内容、检测范围等。</w:t>
      </w:r>
    </w:p>
    <w:p w14:paraId="5A2E866E">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hint="default" w:cs="仿宋_GB2312" w:asciiTheme="minorEastAsia" w:hAnsiTheme="minorEastAsia" w:eastAsiaTheme="minorEastAsia"/>
          <w:color w:val="auto"/>
          <w:szCs w:val="24"/>
          <w:lang w:val="en-US" w:eastAsia="zh-CN"/>
        </w:rPr>
      </w:pPr>
      <w:r>
        <w:rPr>
          <w:rFonts w:hint="default" w:cs="仿宋_GB2312" w:asciiTheme="minorEastAsia" w:hAnsiTheme="minorEastAsia" w:eastAsiaTheme="minorEastAsia"/>
          <w:color w:val="auto"/>
          <w:szCs w:val="24"/>
          <w:lang w:val="en-US" w:eastAsia="zh-CN"/>
        </w:rPr>
        <w:t>2. 检测依据：列出本次检测所依据的国家规范、标准及相关文件。</w:t>
      </w:r>
    </w:p>
    <w:p w14:paraId="7A615C1F">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hint="default" w:cs="仿宋_GB2312" w:asciiTheme="minorEastAsia" w:hAnsiTheme="minorEastAsia" w:eastAsiaTheme="minorEastAsia"/>
          <w:color w:val="auto"/>
          <w:szCs w:val="24"/>
          <w:lang w:val="en-US" w:eastAsia="zh-CN"/>
        </w:rPr>
      </w:pPr>
      <w:r>
        <w:rPr>
          <w:rFonts w:hint="default" w:cs="仿宋_GB2312" w:asciiTheme="minorEastAsia" w:hAnsiTheme="minorEastAsia" w:eastAsiaTheme="minorEastAsia"/>
          <w:color w:val="auto"/>
          <w:szCs w:val="24"/>
          <w:lang w:val="en-US" w:eastAsia="zh-CN"/>
        </w:rPr>
        <w:t>3. 检测方法与仪器：详细说明检测采用的方法、仪器型号、校准情况等。</w:t>
      </w:r>
    </w:p>
    <w:p w14:paraId="14893E17">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hint="default" w:cs="仿宋_GB2312" w:asciiTheme="minorEastAsia" w:hAnsiTheme="minorEastAsia" w:eastAsiaTheme="minorEastAsia"/>
          <w:color w:val="auto"/>
          <w:szCs w:val="24"/>
          <w:lang w:val="en-US" w:eastAsia="zh-CN"/>
        </w:rPr>
      </w:pPr>
      <w:r>
        <w:rPr>
          <w:rFonts w:hint="default" w:cs="仿宋_GB2312" w:asciiTheme="minorEastAsia" w:hAnsiTheme="minorEastAsia" w:eastAsiaTheme="minorEastAsia"/>
          <w:color w:val="auto"/>
          <w:szCs w:val="24"/>
          <w:lang w:val="en-US" w:eastAsia="zh-CN"/>
        </w:rPr>
        <w:t>4. 检测点布设：附检测点布置图（标注检测点编号、坐标、采样深度、间距等信息），说明布点原则及数量确定依据。</w:t>
      </w:r>
    </w:p>
    <w:p w14:paraId="49ED26AF">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hint="default" w:cs="仿宋_GB2312" w:asciiTheme="minorEastAsia" w:hAnsiTheme="minorEastAsia" w:eastAsiaTheme="minorEastAsia"/>
          <w:color w:val="auto"/>
          <w:szCs w:val="24"/>
          <w:lang w:val="en-US" w:eastAsia="zh-CN"/>
        </w:rPr>
      </w:pPr>
      <w:r>
        <w:rPr>
          <w:rFonts w:hint="default" w:cs="仿宋_GB2312" w:asciiTheme="minorEastAsia" w:hAnsiTheme="minorEastAsia" w:eastAsiaTheme="minorEastAsia"/>
          <w:color w:val="auto"/>
          <w:szCs w:val="24"/>
          <w:lang w:val="en-US" w:eastAsia="zh-CN"/>
        </w:rPr>
        <w:t>5. 检测结果：以表格形式呈现各检测点的土壤氡浓度检测数据（含平行样品数据、平均值、标准差等），对检测数据进行统计分析。</w:t>
      </w:r>
    </w:p>
    <w:p w14:paraId="61C924E1">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hint="default" w:cs="仿宋_GB2312" w:asciiTheme="minorEastAsia" w:hAnsiTheme="minorEastAsia" w:eastAsiaTheme="minorEastAsia"/>
          <w:color w:val="auto"/>
          <w:szCs w:val="24"/>
          <w:lang w:val="en-US" w:eastAsia="zh-CN"/>
        </w:rPr>
      </w:pPr>
      <w:r>
        <w:rPr>
          <w:rFonts w:hint="default" w:cs="仿宋_GB2312" w:asciiTheme="minorEastAsia" w:hAnsiTheme="minorEastAsia" w:eastAsiaTheme="minorEastAsia"/>
          <w:color w:val="auto"/>
          <w:szCs w:val="24"/>
          <w:lang w:val="en-US" w:eastAsia="zh-CN"/>
        </w:rPr>
        <w:t>6. 评价与结论：依据《民用建筑工程室内环境污染控制标准》（GB 50325-2020）等相关标准，对土壤氡浓度检测结果进行评价，明确场地土壤氡浓度是否满足建筑工程要求；若检测结果超标，应分析超标原因，并提出合理的治理建议（如防氡通风设计、土壤改良等）。</w:t>
      </w:r>
    </w:p>
    <w:p w14:paraId="4A9C7ADC">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hint="default" w:cs="仿宋_GB2312" w:asciiTheme="minorEastAsia" w:hAnsiTheme="minorEastAsia" w:eastAsiaTheme="minorEastAsia"/>
          <w:color w:val="auto"/>
          <w:szCs w:val="24"/>
          <w:lang w:val="en-US" w:eastAsia="zh-CN"/>
        </w:rPr>
      </w:pPr>
      <w:r>
        <w:rPr>
          <w:rFonts w:hint="default" w:cs="仿宋_GB2312" w:asciiTheme="minorEastAsia" w:hAnsiTheme="minorEastAsia" w:eastAsiaTheme="minorEastAsia"/>
          <w:color w:val="auto"/>
          <w:szCs w:val="24"/>
          <w:lang w:val="en-US" w:eastAsia="zh-CN"/>
        </w:rPr>
        <w:t>7. 附件：包括检测仪器校准证书、检测原始记录、检测点照片、检测单位资质证书等相关资料。</w:t>
      </w:r>
    </w:p>
    <w:p w14:paraId="6CA79AC9">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hint="default" w:cs="仿宋_GB2312" w:asciiTheme="minorEastAsia" w:hAnsiTheme="minorEastAsia" w:eastAsiaTheme="minorEastAsia"/>
          <w:color w:val="auto"/>
          <w:szCs w:val="24"/>
          <w:lang w:val="en-US" w:eastAsia="zh-CN"/>
        </w:rPr>
      </w:pPr>
      <w:r>
        <w:rPr>
          <w:rFonts w:hint="default" w:cs="仿宋_GB2312" w:asciiTheme="minorEastAsia" w:hAnsiTheme="minorEastAsia" w:eastAsiaTheme="minorEastAsia"/>
          <w:color w:val="auto"/>
          <w:szCs w:val="24"/>
          <w:lang w:val="en-US" w:eastAsia="zh-CN"/>
        </w:rPr>
        <w:t>（二）报告提交要求</w:t>
      </w:r>
    </w:p>
    <w:p w14:paraId="72601FC2">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hint="default" w:cs="仿宋_GB2312" w:asciiTheme="minorEastAsia" w:hAnsiTheme="minorEastAsia" w:eastAsiaTheme="minorEastAsia"/>
          <w:color w:val="auto"/>
          <w:szCs w:val="24"/>
          <w:lang w:val="en-US" w:eastAsia="zh-CN"/>
        </w:rPr>
      </w:pPr>
      <w:r>
        <w:rPr>
          <w:rFonts w:hint="default" w:cs="仿宋_GB2312" w:asciiTheme="minorEastAsia" w:hAnsiTheme="minorEastAsia" w:eastAsiaTheme="minorEastAsia"/>
          <w:color w:val="auto"/>
          <w:szCs w:val="24"/>
          <w:lang w:val="en-US" w:eastAsia="zh-CN"/>
        </w:rPr>
        <w:t>1. 检测报告，一式6份，其中正本2份、副本4份，加盖检测单位公章及骑缝章。</w:t>
      </w:r>
    </w:p>
    <w:p w14:paraId="2AC23190">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hint="default" w:cs="仿宋_GB2312" w:asciiTheme="minorEastAsia" w:hAnsiTheme="minorEastAsia" w:eastAsiaTheme="minorEastAsia"/>
          <w:color w:val="auto"/>
          <w:szCs w:val="24"/>
          <w:lang w:val="en-US" w:eastAsia="zh-CN"/>
        </w:rPr>
      </w:pPr>
      <w:r>
        <w:rPr>
          <w:rFonts w:hint="default" w:cs="仿宋_GB2312" w:asciiTheme="minorEastAsia" w:hAnsiTheme="minorEastAsia" w:eastAsiaTheme="minorEastAsia"/>
          <w:color w:val="auto"/>
          <w:szCs w:val="24"/>
          <w:lang w:val="en-US" w:eastAsia="zh-CN"/>
        </w:rPr>
        <w:t>2. 同时提交报告电子版（PDF格式）。</w:t>
      </w:r>
    </w:p>
    <w:p w14:paraId="5489DD23">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hint="default" w:cs="仿宋_GB2312" w:asciiTheme="minorEastAsia" w:hAnsiTheme="minorEastAsia" w:eastAsiaTheme="minorEastAsia"/>
          <w:color w:val="auto"/>
          <w:szCs w:val="24"/>
          <w:lang w:val="en-US" w:eastAsia="zh-CN"/>
        </w:rPr>
      </w:pPr>
      <w:r>
        <w:rPr>
          <w:rFonts w:hint="default" w:cs="仿宋_GB2312" w:asciiTheme="minorEastAsia" w:hAnsiTheme="minorEastAsia" w:eastAsiaTheme="minorEastAsia"/>
          <w:color w:val="auto"/>
          <w:szCs w:val="24"/>
          <w:lang w:val="en-US" w:eastAsia="zh-CN"/>
        </w:rPr>
        <w:t>3. 检测报告应真实、准确、完整，不得篡改检测数据或隐瞒检测结果，若发现检测数据异常应及时向建设单位反馈。</w:t>
      </w:r>
    </w:p>
    <w:p w14:paraId="00D8B417">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hint="default" w:cs="仿宋_GB2312" w:asciiTheme="minorEastAsia" w:hAnsiTheme="minorEastAsia" w:eastAsiaTheme="minorEastAsia"/>
          <w:color w:val="auto"/>
          <w:szCs w:val="24"/>
          <w:lang w:val="en-US" w:eastAsia="zh-CN"/>
        </w:rPr>
      </w:pPr>
      <w:r>
        <w:rPr>
          <w:rFonts w:hint="default" w:cs="仿宋_GB2312" w:asciiTheme="minorEastAsia" w:hAnsiTheme="minorEastAsia" w:eastAsiaTheme="minorEastAsia"/>
          <w:color w:val="auto"/>
          <w:szCs w:val="24"/>
          <w:lang w:val="en-US" w:eastAsia="zh-CN"/>
        </w:rPr>
        <w:t>（</w:t>
      </w:r>
      <w:r>
        <w:rPr>
          <w:rFonts w:hint="eastAsia" w:cs="仿宋_GB2312" w:asciiTheme="minorEastAsia" w:hAnsiTheme="minorEastAsia" w:eastAsiaTheme="minorEastAsia"/>
          <w:color w:val="auto"/>
          <w:szCs w:val="24"/>
          <w:lang w:val="en-US" w:eastAsia="zh-CN"/>
        </w:rPr>
        <w:t>三</w:t>
      </w:r>
      <w:r>
        <w:rPr>
          <w:rFonts w:hint="default" w:cs="仿宋_GB2312" w:asciiTheme="minorEastAsia" w:hAnsiTheme="minorEastAsia" w:eastAsiaTheme="minorEastAsia"/>
          <w:color w:val="auto"/>
          <w:szCs w:val="24"/>
          <w:lang w:val="en-US" w:eastAsia="zh-CN"/>
        </w:rPr>
        <w:t>）检测单位职责</w:t>
      </w:r>
    </w:p>
    <w:p w14:paraId="6BDF4A20">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hint="default" w:cs="仿宋_GB2312" w:asciiTheme="minorEastAsia" w:hAnsiTheme="minorEastAsia" w:eastAsiaTheme="minorEastAsia"/>
          <w:color w:val="auto"/>
          <w:szCs w:val="24"/>
          <w:lang w:val="en-US" w:eastAsia="zh-CN"/>
        </w:rPr>
      </w:pPr>
      <w:r>
        <w:rPr>
          <w:rFonts w:hint="default" w:cs="仿宋_GB2312" w:asciiTheme="minorEastAsia" w:hAnsiTheme="minorEastAsia" w:eastAsiaTheme="minorEastAsia"/>
          <w:color w:val="auto"/>
          <w:szCs w:val="24"/>
          <w:lang w:val="en-US" w:eastAsia="zh-CN"/>
        </w:rPr>
        <w:t>1. 具备相应的土壤氡检测资质（CMA认证），配备专业的检测人员及合格的检测仪器，确保检测工作符合相关规范标准要求。</w:t>
      </w:r>
    </w:p>
    <w:p w14:paraId="2687B35A">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hint="default" w:cs="仿宋_GB2312" w:asciiTheme="minorEastAsia" w:hAnsiTheme="minorEastAsia" w:eastAsiaTheme="minorEastAsia"/>
          <w:color w:val="auto"/>
          <w:szCs w:val="24"/>
          <w:lang w:val="en-US" w:eastAsia="zh-CN"/>
        </w:rPr>
      </w:pPr>
      <w:r>
        <w:rPr>
          <w:rFonts w:hint="default" w:cs="仿宋_GB2312" w:asciiTheme="minorEastAsia" w:hAnsiTheme="minorEastAsia" w:eastAsiaTheme="minorEastAsia"/>
          <w:color w:val="auto"/>
          <w:szCs w:val="24"/>
          <w:lang w:val="en-US" w:eastAsia="zh-CN"/>
        </w:rPr>
        <w:t>2. 严格按照本任务书及审核通过的检测方案开展检测工作，保证检测过程规范、检测数据真实可靠。</w:t>
      </w:r>
    </w:p>
    <w:p w14:paraId="62BD7F16">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hint="default" w:cs="仿宋_GB2312" w:asciiTheme="minorEastAsia" w:hAnsiTheme="minorEastAsia" w:eastAsiaTheme="minorEastAsia"/>
          <w:color w:val="auto"/>
          <w:szCs w:val="24"/>
          <w:lang w:val="en-US" w:eastAsia="zh-CN"/>
        </w:rPr>
      </w:pPr>
      <w:r>
        <w:rPr>
          <w:rFonts w:hint="default" w:cs="仿宋_GB2312" w:asciiTheme="minorEastAsia" w:hAnsiTheme="minorEastAsia" w:eastAsiaTheme="minorEastAsia"/>
          <w:color w:val="auto"/>
          <w:szCs w:val="24"/>
          <w:lang w:val="en-US" w:eastAsia="zh-CN"/>
        </w:rPr>
        <w:t>3. 及时向建设单位反馈检测进展情况，若发现重大环境问题应立即报告。</w:t>
      </w:r>
    </w:p>
    <w:p w14:paraId="3C60672B">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hint="default" w:cs="仿宋_GB2312" w:asciiTheme="minorEastAsia" w:hAnsiTheme="minorEastAsia" w:eastAsiaTheme="minorEastAsia"/>
          <w:color w:val="auto"/>
          <w:szCs w:val="24"/>
          <w:lang w:val="en-US" w:eastAsia="zh-CN"/>
        </w:rPr>
      </w:pPr>
      <w:r>
        <w:rPr>
          <w:rFonts w:hint="default" w:cs="仿宋_GB2312" w:asciiTheme="minorEastAsia" w:hAnsiTheme="minorEastAsia" w:eastAsiaTheme="minorEastAsia"/>
          <w:color w:val="auto"/>
          <w:szCs w:val="24"/>
          <w:lang w:val="en-US" w:eastAsia="zh-CN"/>
        </w:rPr>
        <w:t>4. 按约定时间提交检测报告，并对检测报告的真实性、准确性和完整性负责。</w:t>
      </w:r>
    </w:p>
    <w:p w14:paraId="6C702001">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hint="default" w:cs="仿宋_GB2312" w:asciiTheme="minorEastAsia" w:hAnsiTheme="minorEastAsia" w:eastAsiaTheme="minorEastAsia"/>
          <w:color w:val="auto"/>
          <w:szCs w:val="24"/>
          <w:lang w:val="en-US" w:eastAsia="zh-CN"/>
        </w:rPr>
      </w:pPr>
      <w:r>
        <w:rPr>
          <w:rFonts w:hint="default" w:cs="仿宋_GB2312" w:asciiTheme="minorEastAsia" w:hAnsiTheme="minorEastAsia" w:eastAsiaTheme="minorEastAsia"/>
          <w:color w:val="auto"/>
          <w:szCs w:val="24"/>
          <w:lang w:val="en-US" w:eastAsia="zh-CN"/>
        </w:rPr>
        <w:t>5. 配合建设单位对检测结果的复核工作，若检测结果存在争议，应积极协助开展复检工作。</w:t>
      </w:r>
    </w:p>
    <w:p w14:paraId="21B884B4">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hint="default" w:cs="仿宋_GB2312" w:asciiTheme="minorEastAsia" w:hAnsiTheme="minorEastAsia" w:eastAsiaTheme="minorEastAsia"/>
          <w:color w:val="auto"/>
          <w:szCs w:val="24"/>
          <w:lang w:val="en-US" w:eastAsia="zh-CN"/>
        </w:rPr>
      </w:pPr>
      <w:r>
        <w:rPr>
          <w:rFonts w:hint="default" w:cs="仿宋_GB2312" w:asciiTheme="minorEastAsia" w:hAnsiTheme="minorEastAsia" w:eastAsiaTheme="minorEastAsia"/>
          <w:color w:val="auto"/>
          <w:szCs w:val="24"/>
          <w:lang w:val="en-US" w:eastAsia="zh-CN"/>
        </w:rPr>
        <w:t>6. 做好检测过程中的安全防护工作，承担因自身操作不当造成的人员安全、设备损坏及环境影响等责任。</w:t>
      </w:r>
    </w:p>
    <w:bookmarkEnd w:id="4"/>
    <w:bookmarkEnd w:id="5"/>
    <w:bookmarkEnd w:id="6"/>
    <w:bookmarkEnd w:id="7"/>
    <w:p w14:paraId="1C42D903">
      <w:pPr>
        <w:pStyle w:val="2"/>
        <w:pageBreakBefore w:val="0"/>
        <w:widowControl w:val="0"/>
        <w:numPr>
          <w:ilvl w:val="0"/>
          <w:numId w:val="0"/>
        </w:numPr>
        <w:kinsoku/>
        <w:wordWrap/>
        <w:overflowPunct/>
        <w:topLinePunct w:val="0"/>
        <w:autoSpaceDE/>
        <w:autoSpaceDN/>
        <w:bidi w:val="0"/>
        <w:snapToGrid/>
        <w:spacing w:before="0" w:after="0" w:line="540" w:lineRule="exact"/>
        <w:ind w:left="0" w:firstLine="480" w:firstLineChars="200"/>
        <w:jc w:val="both"/>
        <w:textAlignment w:val="auto"/>
        <w:rPr>
          <w:rFonts w:hint="eastAsia" w:ascii="黑体" w:hAnsi="黑体" w:eastAsia="黑体" w:cs="黑体"/>
          <w:b w:val="0"/>
          <w:bCs w:val="0"/>
          <w:sz w:val="24"/>
          <w:szCs w:val="24"/>
        </w:rPr>
      </w:pPr>
      <w:bookmarkStart w:id="8" w:name="_Toc30463"/>
      <w:bookmarkStart w:id="9" w:name="_Toc6811"/>
      <w:r>
        <w:rPr>
          <w:rFonts w:hint="eastAsia" w:ascii="黑体" w:hAnsi="黑体" w:eastAsia="黑体" w:cs="黑体"/>
          <w:b w:val="0"/>
          <w:bCs w:val="0"/>
          <w:sz w:val="24"/>
          <w:szCs w:val="24"/>
        </w:rPr>
        <w:t>三、勘察依据</w:t>
      </w:r>
    </w:p>
    <w:p w14:paraId="27A88DAF">
      <w:pPr>
        <w:pageBreakBefore w:val="0"/>
        <w:widowControl w:val="0"/>
        <w:kinsoku/>
        <w:wordWrap/>
        <w:overflowPunct/>
        <w:topLinePunct w:val="0"/>
        <w:autoSpaceDE/>
        <w:autoSpaceDN/>
        <w:bidi w:val="0"/>
        <w:snapToGrid/>
        <w:spacing w:line="540" w:lineRule="exact"/>
        <w:ind w:left="0" w:firstLine="480" w:firstLineChars="200"/>
        <w:jc w:val="both"/>
        <w:textAlignment w:val="auto"/>
        <w:rPr>
          <w:rFonts w:cs="仿宋_GB2312" w:asciiTheme="minorEastAsia" w:hAnsiTheme="minorEastAsia" w:eastAsiaTheme="minorEastAsia"/>
          <w:szCs w:val="24"/>
        </w:rPr>
      </w:pPr>
      <w:r>
        <w:rPr>
          <w:rFonts w:hint="eastAsia" w:cs="仿宋_GB2312" w:asciiTheme="minorEastAsia" w:hAnsiTheme="minorEastAsia" w:eastAsiaTheme="minorEastAsia"/>
          <w:szCs w:val="24"/>
        </w:rPr>
        <w:t>3.1本勘察任务书以及建设单位提供的相关设计技术资料</w:t>
      </w:r>
    </w:p>
    <w:p w14:paraId="58AB34E3">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hint="default" w:cs="仿宋_GB2312" w:asciiTheme="minorEastAsia" w:hAnsiTheme="minorEastAsia" w:eastAsiaTheme="minorEastAsia"/>
          <w:szCs w:val="24"/>
          <w:lang w:val="en-US" w:eastAsia="zh-CN"/>
        </w:rPr>
      </w:pPr>
      <w:r>
        <w:rPr>
          <w:rFonts w:hint="eastAsia" w:cs="仿宋_GB2312" w:asciiTheme="minorEastAsia" w:hAnsiTheme="minorEastAsia" w:eastAsiaTheme="minorEastAsia"/>
          <w:szCs w:val="24"/>
        </w:rPr>
        <w:t>3.2国家、行业及地方现行相关标准规范</w:t>
      </w:r>
      <w:r>
        <w:rPr>
          <w:rFonts w:hint="eastAsia" w:cs="仿宋_GB2312" w:asciiTheme="minorEastAsia" w:hAnsiTheme="minorEastAsia" w:eastAsiaTheme="minorEastAsia"/>
          <w:szCs w:val="24"/>
          <w:lang w:eastAsia="zh-CN"/>
        </w:rPr>
        <w:t>，</w:t>
      </w:r>
      <w:r>
        <w:rPr>
          <w:rFonts w:hint="eastAsia" w:cs="仿宋_GB2312" w:asciiTheme="minorEastAsia" w:hAnsiTheme="minorEastAsia" w:eastAsiaTheme="minorEastAsia"/>
          <w:szCs w:val="24"/>
          <w:lang w:val="en-US" w:eastAsia="zh-CN"/>
        </w:rPr>
        <w:t>行业规程等</w:t>
      </w:r>
    </w:p>
    <w:p w14:paraId="4692C0D4">
      <w:pPr>
        <w:pStyle w:val="6"/>
        <w:pageBreakBefore w:val="0"/>
        <w:widowControl w:val="0"/>
        <w:kinsoku/>
        <w:wordWrap/>
        <w:overflowPunct/>
        <w:topLinePunct w:val="0"/>
        <w:autoSpaceDE/>
        <w:autoSpaceDN/>
        <w:bidi w:val="0"/>
        <w:snapToGrid/>
        <w:spacing w:before="0" w:after="0" w:line="540" w:lineRule="exact"/>
        <w:ind w:left="0" w:firstLine="480" w:firstLineChars="200"/>
        <w:jc w:val="both"/>
        <w:textAlignment w:val="auto"/>
        <w:rPr>
          <w:rFonts w:cs="仿宋_GB2312" w:asciiTheme="minorEastAsia" w:hAnsiTheme="minorEastAsia" w:eastAsiaTheme="minorEastAsia"/>
          <w:szCs w:val="24"/>
        </w:rPr>
      </w:pPr>
      <w:r>
        <w:rPr>
          <w:rFonts w:hint="eastAsia" w:cs="仿宋_GB2312" w:asciiTheme="minorEastAsia" w:hAnsiTheme="minorEastAsia" w:eastAsiaTheme="minorEastAsia"/>
          <w:szCs w:val="24"/>
        </w:rPr>
        <w:t>3.3 本工程</w:t>
      </w:r>
      <w:r>
        <w:rPr>
          <w:rFonts w:hint="eastAsia" w:cs="仿宋_GB2312" w:asciiTheme="minorEastAsia" w:hAnsiTheme="minorEastAsia" w:eastAsiaTheme="minorEastAsia"/>
          <w:szCs w:val="24"/>
          <w:lang w:eastAsia="zh-Hans"/>
        </w:rPr>
        <w:t>的报建文本以及</w:t>
      </w:r>
      <w:r>
        <w:rPr>
          <w:rFonts w:hint="eastAsia" w:cs="仿宋_GB2312" w:asciiTheme="minorEastAsia" w:hAnsiTheme="minorEastAsia" w:eastAsiaTheme="minorEastAsia"/>
          <w:szCs w:val="24"/>
        </w:rPr>
        <w:t>初步设计方案（如有）</w:t>
      </w:r>
    </w:p>
    <w:p w14:paraId="7AF5BC36">
      <w:pPr>
        <w:pStyle w:val="2"/>
        <w:pageBreakBefore w:val="0"/>
        <w:widowControl w:val="0"/>
        <w:numPr>
          <w:ilvl w:val="0"/>
          <w:numId w:val="0"/>
        </w:numPr>
        <w:kinsoku/>
        <w:wordWrap/>
        <w:overflowPunct/>
        <w:topLinePunct w:val="0"/>
        <w:autoSpaceDE/>
        <w:autoSpaceDN/>
        <w:bidi w:val="0"/>
        <w:snapToGrid/>
        <w:spacing w:before="0" w:after="0" w:line="540" w:lineRule="exact"/>
        <w:ind w:left="0" w:firstLine="480" w:firstLineChars="200"/>
        <w:jc w:val="both"/>
        <w:textAlignment w:val="auto"/>
        <w:rPr>
          <w:rFonts w:hint="eastAsia" w:ascii="黑体" w:hAnsi="黑体" w:eastAsia="黑体" w:cs="黑体"/>
          <w:b w:val="0"/>
          <w:bCs/>
          <w:sz w:val="24"/>
          <w:szCs w:val="24"/>
        </w:rPr>
      </w:pPr>
      <w:r>
        <w:rPr>
          <w:rFonts w:hint="eastAsia" w:ascii="黑体" w:hAnsi="黑体" w:eastAsia="黑体" w:cs="黑体"/>
          <w:b w:val="0"/>
          <w:bCs/>
          <w:sz w:val="24"/>
          <w:szCs w:val="24"/>
        </w:rPr>
        <w:t>四、主要技术要求</w:t>
      </w:r>
    </w:p>
    <w:p w14:paraId="45EA487E">
      <w:pPr>
        <w:pStyle w:val="4"/>
        <w:pageBreakBefore w:val="0"/>
        <w:widowControl w:val="0"/>
        <w:kinsoku/>
        <w:wordWrap/>
        <w:overflowPunct/>
        <w:topLinePunct w:val="0"/>
        <w:autoSpaceDE/>
        <w:autoSpaceDN/>
        <w:bidi w:val="0"/>
        <w:snapToGrid/>
        <w:spacing w:line="540" w:lineRule="exact"/>
        <w:ind w:left="0" w:firstLine="482"/>
        <w:jc w:val="both"/>
        <w:textAlignment w:val="auto"/>
        <w:rPr>
          <w:rFonts w:cs="仿宋_GB2312" w:asciiTheme="minorEastAsia" w:hAnsiTheme="minorEastAsia" w:eastAsiaTheme="minorEastAsia"/>
          <w:b w:val="0"/>
          <w:bCs w:val="0"/>
          <w:szCs w:val="24"/>
        </w:rPr>
      </w:pPr>
      <w:r>
        <w:rPr>
          <w:rFonts w:hint="eastAsia" w:cs="仿宋_GB2312" w:asciiTheme="minorEastAsia" w:hAnsiTheme="minorEastAsia" w:eastAsiaTheme="minorEastAsia"/>
          <w:b w:val="0"/>
          <w:bCs w:val="0"/>
          <w:szCs w:val="24"/>
        </w:rPr>
        <w:t>4.1勘察技术要求</w:t>
      </w:r>
    </w:p>
    <w:p w14:paraId="05A29B70">
      <w:pPr>
        <w:pageBreakBefore w:val="0"/>
        <w:widowControl w:val="0"/>
        <w:kinsoku/>
        <w:wordWrap/>
        <w:overflowPunct/>
        <w:topLinePunct w:val="0"/>
        <w:autoSpaceDE/>
        <w:autoSpaceDN/>
        <w:bidi w:val="0"/>
        <w:adjustRightInd/>
        <w:snapToGrid/>
        <w:spacing w:line="540" w:lineRule="exact"/>
        <w:ind w:left="0" w:firstLine="480" w:firstLineChars="200"/>
        <w:jc w:val="both"/>
        <w:textAlignment w:val="auto"/>
        <w:rPr>
          <w:rFonts w:cs="仿宋_GB2312" w:asciiTheme="minorEastAsia" w:hAnsiTheme="minorEastAsia" w:eastAsiaTheme="minorEastAsia"/>
          <w:snapToGrid w:val="0"/>
          <w:color w:val="000000"/>
          <w:szCs w:val="24"/>
        </w:rPr>
      </w:pPr>
      <w:r>
        <w:rPr>
          <w:rFonts w:hint="eastAsia" w:cs="仿宋_GB2312" w:asciiTheme="minorEastAsia" w:hAnsiTheme="minorEastAsia" w:eastAsiaTheme="minorEastAsia"/>
          <w:szCs w:val="24"/>
        </w:rPr>
        <w:t>4.1.1本次勘探为详细勘探，勘察人应结合现有设计资料，</w:t>
      </w:r>
      <w:r>
        <w:rPr>
          <w:rFonts w:hint="eastAsia" w:cs="仿宋_GB2312" w:asciiTheme="minorEastAsia" w:hAnsiTheme="minorEastAsia" w:eastAsiaTheme="minorEastAsia"/>
          <w:snapToGrid w:val="0"/>
          <w:color w:val="000000"/>
          <w:szCs w:val="24"/>
        </w:rPr>
        <w:t>严格按国家现行有关勘察规程、规范、标准进行，并提供符合深度要求的详勘报告；</w:t>
      </w:r>
    </w:p>
    <w:p w14:paraId="354D35AD">
      <w:pPr>
        <w:pageBreakBefore w:val="0"/>
        <w:widowControl w:val="0"/>
        <w:kinsoku/>
        <w:wordWrap/>
        <w:overflowPunct/>
        <w:topLinePunct w:val="0"/>
        <w:autoSpaceDE/>
        <w:autoSpaceDN/>
        <w:bidi w:val="0"/>
        <w:adjustRightInd/>
        <w:snapToGrid/>
        <w:spacing w:line="540" w:lineRule="exact"/>
        <w:ind w:left="0" w:firstLine="480" w:firstLineChars="200"/>
        <w:jc w:val="both"/>
        <w:textAlignment w:val="auto"/>
        <w:rPr>
          <w:rFonts w:cs="仿宋_GB2312" w:asciiTheme="minorEastAsia" w:hAnsiTheme="minorEastAsia" w:eastAsiaTheme="minorEastAsia"/>
          <w:color w:val="000000"/>
          <w:szCs w:val="24"/>
        </w:rPr>
      </w:pPr>
      <w:r>
        <w:rPr>
          <w:rFonts w:hint="eastAsia" w:cs="仿宋_GB2312" w:asciiTheme="minorEastAsia" w:hAnsiTheme="minorEastAsia" w:eastAsiaTheme="minorEastAsia"/>
          <w:szCs w:val="24"/>
        </w:rPr>
        <w:t>4.1.2</w:t>
      </w:r>
      <w:r>
        <w:rPr>
          <w:rFonts w:hint="eastAsia" w:cs="仿宋_GB2312" w:asciiTheme="minorEastAsia" w:hAnsiTheme="minorEastAsia" w:eastAsiaTheme="minorEastAsia"/>
          <w:snapToGrid w:val="0"/>
          <w:color w:val="000000"/>
          <w:szCs w:val="24"/>
        </w:rPr>
        <w:t>勘察人应结合实际情况以及</w:t>
      </w:r>
      <w:r>
        <w:rPr>
          <w:rFonts w:hint="eastAsia" w:cs="仿宋_GB2312" w:asciiTheme="minorEastAsia" w:hAnsiTheme="minorEastAsia" w:eastAsiaTheme="minorEastAsia"/>
          <w:color w:val="000000"/>
          <w:szCs w:val="24"/>
        </w:rPr>
        <w:t>规范规定，科学合理地确定本工程的勘察等级。并在勘察作业前，结合投标技术方案以及工程实际情况编报《工程勘察方案》，</w:t>
      </w:r>
      <w:r>
        <w:rPr>
          <w:rFonts w:hint="eastAsia" w:cs="仿宋_GB2312" w:asciiTheme="minorEastAsia" w:hAnsiTheme="minorEastAsia" w:eastAsiaTheme="minorEastAsia"/>
          <w:szCs w:val="24"/>
        </w:rPr>
        <w:t>经建设单位和设计单位确认</w:t>
      </w:r>
      <w:r>
        <w:rPr>
          <w:rFonts w:hint="eastAsia" w:cs="仿宋_GB2312" w:asciiTheme="minorEastAsia" w:hAnsiTheme="minorEastAsia" w:eastAsiaTheme="minorEastAsia"/>
          <w:color w:val="000000"/>
          <w:szCs w:val="24"/>
        </w:rPr>
        <w:t>后方可实施。工程勘察方案应至少包括如下内容：</w:t>
      </w:r>
    </w:p>
    <w:p w14:paraId="3BA613AD">
      <w:pPr>
        <w:pageBreakBefore w:val="0"/>
        <w:widowControl w:val="0"/>
        <w:kinsoku/>
        <w:wordWrap/>
        <w:overflowPunct/>
        <w:topLinePunct w:val="0"/>
        <w:autoSpaceDE/>
        <w:autoSpaceDN/>
        <w:bidi w:val="0"/>
        <w:adjustRightInd/>
        <w:snapToGrid/>
        <w:spacing w:line="540" w:lineRule="exact"/>
        <w:ind w:left="0" w:firstLine="480" w:firstLineChars="200"/>
        <w:jc w:val="both"/>
        <w:textAlignment w:val="auto"/>
        <w:rPr>
          <w:rFonts w:cs="仿宋_GB2312" w:asciiTheme="minorEastAsia" w:hAnsiTheme="minorEastAsia" w:eastAsiaTheme="minorEastAsia"/>
          <w:snapToGrid w:val="0"/>
          <w:color w:val="000000"/>
          <w:szCs w:val="24"/>
        </w:rPr>
      </w:pPr>
      <w:r>
        <w:rPr>
          <w:rFonts w:hint="eastAsia" w:cs="仿宋_GB2312" w:asciiTheme="minorEastAsia" w:hAnsiTheme="minorEastAsia" w:eastAsiaTheme="minorEastAsia"/>
          <w:szCs w:val="24"/>
        </w:rPr>
        <w:t>(1)</w:t>
      </w:r>
      <w:r>
        <w:rPr>
          <w:rFonts w:hint="eastAsia" w:cs="仿宋_GB2312" w:asciiTheme="minorEastAsia" w:hAnsiTheme="minorEastAsia" w:eastAsiaTheme="minorEastAsia"/>
          <w:snapToGrid w:val="0"/>
          <w:color w:val="000000"/>
          <w:szCs w:val="24"/>
        </w:rPr>
        <w:t>工程概述（包括本次勘察任务、目标等）；</w:t>
      </w:r>
    </w:p>
    <w:p w14:paraId="29C67859">
      <w:pPr>
        <w:pageBreakBefore w:val="0"/>
        <w:widowControl w:val="0"/>
        <w:kinsoku/>
        <w:wordWrap/>
        <w:overflowPunct/>
        <w:topLinePunct w:val="0"/>
        <w:autoSpaceDE/>
        <w:autoSpaceDN/>
        <w:bidi w:val="0"/>
        <w:adjustRightInd/>
        <w:snapToGrid/>
        <w:spacing w:line="540" w:lineRule="exact"/>
        <w:ind w:left="0" w:firstLine="480" w:firstLineChars="200"/>
        <w:jc w:val="both"/>
        <w:textAlignment w:val="auto"/>
        <w:rPr>
          <w:rFonts w:cs="仿宋_GB2312" w:asciiTheme="minorEastAsia" w:hAnsiTheme="minorEastAsia" w:eastAsiaTheme="minorEastAsia"/>
          <w:snapToGrid w:val="0"/>
          <w:color w:val="000000"/>
          <w:szCs w:val="24"/>
        </w:rPr>
      </w:pPr>
      <w:r>
        <w:rPr>
          <w:rFonts w:hint="eastAsia" w:cs="仿宋_GB2312" w:asciiTheme="minorEastAsia" w:hAnsiTheme="minorEastAsia" w:eastAsiaTheme="minorEastAsia"/>
          <w:szCs w:val="24"/>
        </w:rPr>
        <w:t>(2)项目组织（包括组织机构，人员组成、职责、资格，制度等）；</w:t>
      </w:r>
    </w:p>
    <w:p w14:paraId="445C3BDB">
      <w:pPr>
        <w:pageBreakBefore w:val="0"/>
        <w:widowControl w:val="0"/>
        <w:kinsoku/>
        <w:wordWrap/>
        <w:overflowPunct/>
        <w:topLinePunct w:val="0"/>
        <w:autoSpaceDE/>
        <w:autoSpaceDN/>
        <w:bidi w:val="0"/>
        <w:adjustRightInd/>
        <w:snapToGrid/>
        <w:spacing w:line="540" w:lineRule="exact"/>
        <w:ind w:left="0" w:firstLine="480" w:firstLineChars="200"/>
        <w:jc w:val="both"/>
        <w:textAlignment w:val="auto"/>
        <w:rPr>
          <w:rFonts w:cs="仿宋_GB2312" w:asciiTheme="minorEastAsia" w:hAnsiTheme="minorEastAsia" w:eastAsiaTheme="minorEastAsia"/>
          <w:szCs w:val="24"/>
        </w:rPr>
      </w:pPr>
      <w:r>
        <w:rPr>
          <w:rFonts w:hint="eastAsia" w:cs="仿宋_GB2312" w:asciiTheme="minorEastAsia" w:hAnsiTheme="minorEastAsia" w:eastAsiaTheme="minorEastAsia"/>
          <w:szCs w:val="24"/>
        </w:rPr>
        <w:t>(3)主要勘察方法和具体指标；</w:t>
      </w:r>
    </w:p>
    <w:p w14:paraId="3CEFF82D">
      <w:pPr>
        <w:pageBreakBefore w:val="0"/>
        <w:widowControl w:val="0"/>
        <w:kinsoku/>
        <w:wordWrap/>
        <w:overflowPunct/>
        <w:topLinePunct w:val="0"/>
        <w:autoSpaceDE/>
        <w:autoSpaceDN/>
        <w:bidi w:val="0"/>
        <w:adjustRightInd/>
        <w:snapToGrid/>
        <w:spacing w:line="540" w:lineRule="exact"/>
        <w:ind w:left="0" w:firstLine="480" w:firstLineChars="200"/>
        <w:jc w:val="both"/>
        <w:textAlignment w:val="auto"/>
        <w:rPr>
          <w:rFonts w:cs="仿宋_GB2312" w:asciiTheme="minorEastAsia" w:hAnsiTheme="minorEastAsia" w:eastAsiaTheme="minorEastAsia"/>
          <w:szCs w:val="24"/>
        </w:rPr>
      </w:pPr>
      <w:r>
        <w:rPr>
          <w:rFonts w:hint="eastAsia" w:cs="仿宋_GB2312" w:asciiTheme="minorEastAsia" w:hAnsiTheme="minorEastAsia" w:eastAsiaTheme="minorEastAsia"/>
          <w:szCs w:val="24"/>
        </w:rPr>
        <w:t>(4)人员及机械设备投入情况；</w:t>
      </w:r>
    </w:p>
    <w:p w14:paraId="47C1D3A9">
      <w:pPr>
        <w:pageBreakBefore w:val="0"/>
        <w:widowControl w:val="0"/>
        <w:kinsoku/>
        <w:wordWrap/>
        <w:overflowPunct/>
        <w:topLinePunct w:val="0"/>
        <w:autoSpaceDE/>
        <w:autoSpaceDN/>
        <w:bidi w:val="0"/>
        <w:adjustRightInd/>
        <w:snapToGrid/>
        <w:spacing w:line="540" w:lineRule="exact"/>
        <w:ind w:left="0" w:firstLine="480" w:firstLineChars="200"/>
        <w:jc w:val="both"/>
        <w:textAlignment w:val="auto"/>
        <w:rPr>
          <w:rFonts w:cs="仿宋_GB2312" w:asciiTheme="minorEastAsia" w:hAnsiTheme="minorEastAsia" w:eastAsiaTheme="minorEastAsia"/>
          <w:szCs w:val="24"/>
        </w:rPr>
      </w:pPr>
      <w:r>
        <w:rPr>
          <w:rFonts w:hint="eastAsia" w:cs="仿宋_GB2312" w:asciiTheme="minorEastAsia" w:hAnsiTheme="minorEastAsia" w:eastAsiaTheme="minorEastAsia"/>
          <w:szCs w:val="24"/>
        </w:rPr>
        <w:t>(5)工程进度计划及工期保证措施（网络图或横道图）；</w:t>
      </w:r>
    </w:p>
    <w:p w14:paraId="23332B58">
      <w:pPr>
        <w:pageBreakBefore w:val="0"/>
        <w:widowControl w:val="0"/>
        <w:kinsoku/>
        <w:wordWrap/>
        <w:overflowPunct/>
        <w:topLinePunct w:val="0"/>
        <w:autoSpaceDE/>
        <w:autoSpaceDN/>
        <w:bidi w:val="0"/>
        <w:adjustRightInd/>
        <w:snapToGrid/>
        <w:spacing w:line="540" w:lineRule="exact"/>
        <w:ind w:left="0" w:firstLine="480" w:firstLineChars="200"/>
        <w:jc w:val="both"/>
        <w:textAlignment w:val="auto"/>
        <w:rPr>
          <w:rFonts w:cs="仿宋_GB2312" w:asciiTheme="minorEastAsia" w:hAnsiTheme="minorEastAsia" w:eastAsiaTheme="minorEastAsia"/>
          <w:szCs w:val="24"/>
        </w:rPr>
      </w:pPr>
      <w:r>
        <w:rPr>
          <w:rFonts w:hint="eastAsia" w:cs="仿宋_GB2312" w:asciiTheme="minorEastAsia" w:hAnsiTheme="minorEastAsia" w:eastAsiaTheme="minorEastAsia"/>
          <w:szCs w:val="24"/>
        </w:rPr>
        <w:t>(6)确保勘察质量及安全的措施;</w:t>
      </w:r>
    </w:p>
    <w:p w14:paraId="5B1577C7">
      <w:pPr>
        <w:pageBreakBefore w:val="0"/>
        <w:widowControl w:val="0"/>
        <w:kinsoku/>
        <w:wordWrap/>
        <w:overflowPunct/>
        <w:topLinePunct w:val="0"/>
        <w:autoSpaceDE/>
        <w:autoSpaceDN/>
        <w:bidi w:val="0"/>
        <w:adjustRightInd/>
        <w:snapToGrid/>
        <w:spacing w:line="540" w:lineRule="exact"/>
        <w:ind w:left="0" w:firstLine="480" w:firstLineChars="200"/>
        <w:jc w:val="both"/>
        <w:textAlignment w:val="auto"/>
        <w:rPr>
          <w:rFonts w:cs="仿宋_GB2312" w:asciiTheme="minorEastAsia" w:hAnsiTheme="minorEastAsia" w:eastAsiaTheme="minorEastAsia"/>
          <w:szCs w:val="24"/>
        </w:rPr>
      </w:pPr>
      <w:r>
        <w:rPr>
          <w:rFonts w:hint="eastAsia" w:cs="仿宋_GB2312" w:asciiTheme="minorEastAsia" w:hAnsiTheme="minorEastAsia" w:eastAsiaTheme="minorEastAsia"/>
          <w:szCs w:val="24"/>
        </w:rPr>
        <w:t>(7)地质勘察总平面图(勘探点布置图) ；</w:t>
      </w:r>
    </w:p>
    <w:p w14:paraId="02EDD7E6">
      <w:pPr>
        <w:pageBreakBefore w:val="0"/>
        <w:widowControl w:val="0"/>
        <w:kinsoku/>
        <w:wordWrap/>
        <w:overflowPunct/>
        <w:topLinePunct w:val="0"/>
        <w:autoSpaceDE/>
        <w:autoSpaceDN/>
        <w:bidi w:val="0"/>
        <w:adjustRightInd/>
        <w:snapToGrid/>
        <w:spacing w:line="540" w:lineRule="exact"/>
        <w:ind w:left="0" w:firstLine="480" w:firstLineChars="200"/>
        <w:jc w:val="both"/>
        <w:textAlignment w:val="auto"/>
        <w:rPr>
          <w:rFonts w:cs="仿宋_GB2312" w:asciiTheme="minorEastAsia" w:hAnsiTheme="minorEastAsia" w:eastAsiaTheme="minorEastAsia"/>
          <w:szCs w:val="24"/>
        </w:rPr>
      </w:pPr>
      <w:r>
        <w:rPr>
          <w:rFonts w:hint="eastAsia" w:cs="仿宋_GB2312" w:asciiTheme="minorEastAsia" w:hAnsiTheme="minorEastAsia" w:eastAsiaTheme="minorEastAsia"/>
          <w:szCs w:val="24"/>
        </w:rPr>
        <w:t>(8)拟提供分析报告的主要内容；</w:t>
      </w:r>
    </w:p>
    <w:p w14:paraId="4F32DBAE">
      <w:pPr>
        <w:pageBreakBefore w:val="0"/>
        <w:widowControl w:val="0"/>
        <w:kinsoku/>
        <w:wordWrap/>
        <w:overflowPunct/>
        <w:topLinePunct w:val="0"/>
        <w:autoSpaceDE/>
        <w:autoSpaceDN/>
        <w:bidi w:val="0"/>
        <w:adjustRightInd/>
        <w:snapToGrid/>
        <w:spacing w:line="540" w:lineRule="exact"/>
        <w:ind w:left="0" w:firstLine="480" w:firstLineChars="200"/>
        <w:jc w:val="both"/>
        <w:textAlignment w:val="auto"/>
        <w:rPr>
          <w:rFonts w:hint="eastAsia" w:cs="仿宋_GB2312" w:asciiTheme="minorEastAsia" w:hAnsiTheme="minorEastAsia" w:eastAsiaTheme="minorEastAsia"/>
          <w:szCs w:val="24"/>
        </w:rPr>
      </w:pPr>
      <w:r>
        <w:rPr>
          <w:rFonts w:hint="eastAsia" w:cs="仿宋_GB2312" w:asciiTheme="minorEastAsia" w:hAnsiTheme="minorEastAsia" w:eastAsiaTheme="minorEastAsia"/>
          <w:szCs w:val="24"/>
        </w:rPr>
        <w:t>(9)其他（包括建议或需建设单位配合的事宜）。</w:t>
      </w:r>
    </w:p>
    <w:p w14:paraId="0B0ABB38">
      <w:pPr>
        <w:pStyle w:val="2"/>
        <w:pageBreakBefore w:val="0"/>
        <w:numPr>
          <w:ilvl w:val="0"/>
          <w:numId w:val="0"/>
        </w:numPr>
        <w:kinsoku/>
        <w:wordWrap/>
        <w:overflowPunct/>
        <w:topLinePunct w:val="0"/>
        <w:autoSpaceDE/>
        <w:autoSpaceDN/>
        <w:bidi w:val="0"/>
        <w:snapToGrid/>
        <w:spacing w:before="0" w:after="0" w:line="540" w:lineRule="exact"/>
        <w:ind w:firstLine="482" w:firstLineChars="200"/>
        <w:textAlignment w:val="auto"/>
        <w:rPr>
          <w:rFonts w:hint="eastAsia" w:cs="仿宋_GB2312" w:asciiTheme="minorEastAsia" w:hAnsiTheme="minorEastAsia" w:eastAsiaTheme="minorEastAsia"/>
          <w:szCs w:val="24"/>
        </w:rPr>
      </w:pPr>
      <w:r>
        <w:rPr>
          <w:rFonts w:hint="eastAsia" w:ascii="黑体" w:hAnsi="黑体" w:eastAsia="黑体" w:cs="黑体"/>
          <w:sz w:val="24"/>
          <w:szCs w:val="24"/>
        </w:rPr>
        <w:t>五、成果编制及深度要求</w:t>
      </w:r>
    </w:p>
    <w:bookmarkEnd w:id="8"/>
    <w:bookmarkEnd w:id="9"/>
    <w:p w14:paraId="10F9EDFB">
      <w:pPr>
        <w:pageBreakBefore w:val="0"/>
        <w:kinsoku/>
        <w:wordWrap/>
        <w:overflowPunct/>
        <w:topLinePunct w:val="0"/>
        <w:autoSpaceDE/>
        <w:autoSpaceDN/>
        <w:bidi w:val="0"/>
        <w:snapToGrid/>
        <w:spacing w:line="540" w:lineRule="exact"/>
        <w:ind w:firstLine="480" w:firstLineChars="200"/>
        <w:textAlignment w:val="auto"/>
        <w:rPr>
          <w:rFonts w:cs="仿宋_GB2312" w:asciiTheme="minorEastAsia" w:hAnsiTheme="minorEastAsia" w:eastAsiaTheme="minorEastAsia"/>
          <w:snapToGrid w:val="0"/>
          <w:color w:val="000000"/>
          <w:szCs w:val="24"/>
        </w:rPr>
      </w:pPr>
      <w:bookmarkStart w:id="10" w:name="_Toc2246"/>
      <w:bookmarkStart w:id="11" w:name="_Toc14159"/>
      <w:r>
        <w:rPr>
          <w:rFonts w:hint="eastAsia" w:cs="仿宋_GB2312" w:asciiTheme="minorEastAsia" w:hAnsiTheme="minorEastAsia" w:eastAsiaTheme="minorEastAsia"/>
          <w:szCs w:val="24"/>
        </w:rPr>
        <w:t>5.1</w:t>
      </w:r>
      <w:r>
        <w:rPr>
          <w:rFonts w:hint="eastAsia" w:cs="仿宋_GB2312" w:asciiTheme="minorEastAsia" w:hAnsiTheme="minorEastAsia" w:eastAsiaTheme="minorEastAsia"/>
          <w:snapToGrid w:val="0"/>
          <w:color w:val="000000"/>
          <w:szCs w:val="24"/>
        </w:rPr>
        <w:t>如实编制工程勘察报告，并经相应资格人员校对、审查合格后方可提交给建设单位。</w:t>
      </w:r>
    </w:p>
    <w:p w14:paraId="56A71215">
      <w:pPr>
        <w:pageBreakBefore w:val="0"/>
        <w:kinsoku/>
        <w:wordWrap/>
        <w:overflowPunct/>
        <w:topLinePunct w:val="0"/>
        <w:autoSpaceDE/>
        <w:autoSpaceDN/>
        <w:bidi w:val="0"/>
        <w:snapToGrid/>
        <w:spacing w:line="540" w:lineRule="exact"/>
        <w:ind w:firstLine="480" w:firstLineChars="200"/>
        <w:textAlignment w:val="auto"/>
        <w:rPr>
          <w:rFonts w:cs="仿宋_GB2312" w:asciiTheme="minorEastAsia" w:hAnsiTheme="minorEastAsia" w:eastAsiaTheme="minorEastAsia"/>
          <w:snapToGrid w:val="0"/>
          <w:color w:val="000000"/>
          <w:szCs w:val="24"/>
        </w:rPr>
      </w:pPr>
      <w:r>
        <w:rPr>
          <w:rFonts w:hint="eastAsia" w:cs="仿宋_GB2312" w:asciiTheme="minorEastAsia" w:hAnsiTheme="minorEastAsia" w:eastAsiaTheme="minorEastAsia"/>
          <w:szCs w:val="24"/>
        </w:rPr>
        <w:t>5.</w:t>
      </w:r>
      <w:r>
        <w:rPr>
          <w:rFonts w:hint="eastAsia" w:cs="仿宋_GB2312" w:asciiTheme="minorEastAsia" w:hAnsiTheme="minorEastAsia" w:eastAsiaTheme="minorEastAsia"/>
          <w:szCs w:val="24"/>
          <w:lang w:val="en-US" w:eastAsia="zh-CN"/>
        </w:rPr>
        <w:t>1.1</w:t>
      </w:r>
      <w:r>
        <w:rPr>
          <w:rFonts w:hint="eastAsia" w:cs="仿宋_GB2312" w:asciiTheme="minorEastAsia" w:hAnsiTheme="minorEastAsia" w:eastAsiaTheme="minorEastAsia"/>
          <w:snapToGrid w:val="0"/>
          <w:color w:val="000000"/>
          <w:szCs w:val="24"/>
        </w:rPr>
        <w:t>工程勘察报告中的图纸部分，至少包括：</w:t>
      </w:r>
    </w:p>
    <w:p w14:paraId="4D98541D">
      <w:pPr>
        <w:pageBreakBefore w:val="0"/>
        <w:kinsoku/>
        <w:wordWrap/>
        <w:overflowPunct/>
        <w:topLinePunct w:val="0"/>
        <w:autoSpaceDE/>
        <w:autoSpaceDN/>
        <w:bidi w:val="0"/>
        <w:snapToGrid/>
        <w:spacing w:line="540" w:lineRule="exact"/>
        <w:ind w:firstLine="720" w:firstLineChars="300"/>
        <w:textAlignment w:val="auto"/>
        <w:rPr>
          <w:rFonts w:cs="仿宋_GB2312" w:asciiTheme="minorEastAsia" w:hAnsiTheme="minorEastAsia" w:eastAsiaTheme="minorEastAsia"/>
          <w:snapToGrid w:val="0"/>
          <w:color w:val="000000"/>
          <w:szCs w:val="24"/>
        </w:rPr>
      </w:pPr>
      <w:r>
        <w:rPr>
          <w:rFonts w:hint="eastAsia" w:cs="仿宋_GB2312" w:asciiTheme="minorEastAsia" w:hAnsiTheme="minorEastAsia" w:eastAsiaTheme="minorEastAsia"/>
          <w:snapToGrid w:val="0"/>
          <w:color w:val="000000"/>
          <w:szCs w:val="24"/>
        </w:rPr>
        <w:t>(1)勘探点平面布置图；</w:t>
      </w:r>
    </w:p>
    <w:p w14:paraId="72A35A0D">
      <w:pPr>
        <w:pageBreakBefore w:val="0"/>
        <w:kinsoku/>
        <w:wordWrap/>
        <w:overflowPunct/>
        <w:topLinePunct w:val="0"/>
        <w:autoSpaceDE/>
        <w:autoSpaceDN/>
        <w:bidi w:val="0"/>
        <w:snapToGrid/>
        <w:spacing w:line="540" w:lineRule="exact"/>
        <w:ind w:firstLine="720" w:firstLineChars="300"/>
        <w:textAlignment w:val="auto"/>
        <w:rPr>
          <w:rFonts w:cs="仿宋_GB2312" w:asciiTheme="minorEastAsia" w:hAnsiTheme="minorEastAsia" w:eastAsiaTheme="minorEastAsia"/>
          <w:snapToGrid w:val="0"/>
          <w:color w:val="000000"/>
          <w:szCs w:val="24"/>
        </w:rPr>
      </w:pPr>
      <w:r>
        <w:rPr>
          <w:rFonts w:hint="eastAsia" w:cs="仿宋_GB2312" w:asciiTheme="minorEastAsia" w:hAnsiTheme="minorEastAsia" w:eastAsiaTheme="minorEastAsia"/>
          <w:snapToGrid w:val="0"/>
          <w:color w:val="000000"/>
          <w:szCs w:val="24"/>
        </w:rPr>
        <w:t>(2)综合工程地质图或工程地质分区图；</w:t>
      </w:r>
    </w:p>
    <w:p w14:paraId="76275F8A">
      <w:pPr>
        <w:pageBreakBefore w:val="0"/>
        <w:kinsoku/>
        <w:wordWrap/>
        <w:overflowPunct/>
        <w:topLinePunct w:val="0"/>
        <w:autoSpaceDE/>
        <w:autoSpaceDN/>
        <w:bidi w:val="0"/>
        <w:snapToGrid/>
        <w:spacing w:line="540" w:lineRule="exact"/>
        <w:ind w:firstLine="720" w:firstLineChars="300"/>
        <w:textAlignment w:val="auto"/>
        <w:rPr>
          <w:rFonts w:cs="仿宋_GB2312" w:asciiTheme="minorEastAsia" w:hAnsiTheme="minorEastAsia" w:eastAsiaTheme="minorEastAsia"/>
          <w:snapToGrid w:val="0"/>
          <w:color w:val="000000"/>
          <w:szCs w:val="24"/>
        </w:rPr>
      </w:pPr>
      <w:r>
        <w:rPr>
          <w:rFonts w:hint="eastAsia" w:cs="仿宋_GB2312" w:asciiTheme="minorEastAsia" w:hAnsiTheme="minorEastAsia" w:eastAsiaTheme="minorEastAsia"/>
          <w:snapToGrid w:val="0"/>
          <w:color w:val="000000"/>
          <w:szCs w:val="24"/>
        </w:rPr>
        <w:t>(3)工程地质剖面图；</w:t>
      </w:r>
    </w:p>
    <w:p w14:paraId="4FF4D756">
      <w:pPr>
        <w:pageBreakBefore w:val="0"/>
        <w:kinsoku/>
        <w:wordWrap/>
        <w:overflowPunct/>
        <w:topLinePunct w:val="0"/>
        <w:autoSpaceDE/>
        <w:autoSpaceDN/>
        <w:bidi w:val="0"/>
        <w:snapToGrid/>
        <w:spacing w:line="540" w:lineRule="exact"/>
        <w:ind w:firstLine="720" w:firstLineChars="300"/>
        <w:textAlignment w:val="auto"/>
        <w:rPr>
          <w:rFonts w:cs="仿宋_GB2312" w:asciiTheme="minorEastAsia" w:hAnsiTheme="minorEastAsia" w:eastAsiaTheme="minorEastAsia"/>
          <w:snapToGrid w:val="0"/>
          <w:color w:val="000000"/>
          <w:szCs w:val="24"/>
        </w:rPr>
      </w:pPr>
      <w:r>
        <w:rPr>
          <w:rFonts w:hint="eastAsia" w:cs="仿宋_GB2312" w:asciiTheme="minorEastAsia" w:hAnsiTheme="minorEastAsia" w:eastAsiaTheme="minorEastAsia"/>
          <w:snapToGrid w:val="0"/>
          <w:color w:val="000000"/>
          <w:szCs w:val="24"/>
        </w:rPr>
        <w:t>(4)地质柱状图或综合地质柱状图；</w:t>
      </w:r>
    </w:p>
    <w:p w14:paraId="158920A7">
      <w:pPr>
        <w:pageBreakBefore w:val="0"/>
        <w:kinsoku/>
        <w:wordWrap/>
        <w:overflowPunct/>
        <w:topLinePunct w:val="0"/>
        <w:autoSpaceDE/>
        <w:autoSpaceDN/>
        <w:bidi w:val="0"/>
        <w:snapToGrid/>
        <w:spacing w:line="540" w:lineRule="exact"/>
        <w:ind w:firstLine="720" w:firstLineChars="300"/>
        <w:textAlignment w:val="auto"/>
        <w:rPr>
          <w:rFonts w:cs="仿宋_GB2312" w:asciiTheme="minorEastAsia" w:hAnsiTheme="minorEastAsia" w:eastAsiaTheme="minorEastAsia"/>
          <w:snapToGrid w:val="0"/>
          <w:color w:val="000000"/>
          <w:szCs w:val="24"/>
        </w:rPr>
      </w:pPr>
      <w:r>
        <w:rPr>
          <w:rFonts w:hint="eastAsia" w:cs="仿宋_GB2312" w:asciiTheme="minorEastAsia" w:hAnsiTheme="minorEastAsia" w:eastAsiaTheme="minorEastAsia"/>
          <w:snapToGrid w:val="0"/>
          <w:color w:val="000000"/>
          <w:szCs w:val="24"/>
        </w:rPr>
        <w:t>(5)各主要土层物理力学性质指标统计、钻探点坐标标高深度、土层试验成果等有关测试图表等；</w:t>
      </w:r>
    </w:p>
    <w:p w14:paraId="3CD9CB75">
      <w:pPr>
        <w:pageBreakBefore w:val="0"/>
        <w:kinsoku/>
        <w:wordWrap/>
        <w:overflowPunct/>
        <w:topLinePunct w:val="0"/>
        <w:autoSpaceDE/>
        <w:autoSpaceDN/>
        <w:bidi w:val="0"/>
        <w:snapToGrid/>
        <w:spacing w:line="540" w:lineRule="exact"/>
        <w:ind w:firstLine="720" w:firstLineChars="300"/>
        <w:textAlignment w:val="auto"/>
        <w:rPr>
          <w:rFonts w:cs="仿宋_GB2312" w:asciiTheme="minorEastAsia" w:hAnsiTheme="minorEastAsia" w:eastAsiaTheme="minorEastAsia"/>
          <w:snapToGrid w:val="0"/>
          <w:color w:val="000000"/>
          <w:szCs w:val="24"/>
        </w:rPr>
      </w:pPr>
      <w:r>
        <w:rPr>
          <w:rFonts w:hint="eastAsia" w:cs="仿宋_GB2312" w:asciiTheme="minorEastAsia" w:hAnsiTheme="minorEastAsia" w:eastAsiaTheme="minorEastAsia"/>
          <w:snapToGrid w:val="0"/>
          <w:color w:val="000000"/>
          <w:szCs w:val="24"/>
        </w:rPr>
        <w:t>(6)地下水等水位线图；</w:t>
      </w:r>
    </w:p>
    <w:p w14:paraId="2B7E98EB">
      <w:pPr>
        <w:pageBreakBefore w:val="0"/>
        <w:kinsoku/>
        <w:wordWrap/>
        <w:overflowPunct/>
        <w:topLinePunct w:val="0"/>
        <w:autoSpaceDE/>
        <w:autoSpaceDN/>
        <w:bidi w:val="0"/>
        <w:snapToGrid/>
        <w:spacing w:line="540" w:lineRule="exact"/>
        <w:ind w:firstLine="720" w:firstLineChars="300"/>
        <w:textAlignment w:val="auto"/>
        <w:rPr>
          <w:rFonts w:hint="eastAsia" w:cs="仿宋_GB2312" w:asciiTheme="minorEastAsia" w:hAnsiTheme="minorEastAsia" w:eastAsiaTheme="minorEastAsia"/>
          <w:snapToGrid w:val="0"/>
          <w:color w:val="000000"/>
          <w:szCs w:val="24"/>
        </w:rPr>
      </w:pPr>
      <w:r>
        <w:rPr>
          <w:rFonts w:hint="eastAsia" w:cs="仿宋_GB2312" w:asciiTheme="minorEastAsia" w:hAnsiTheme="minorEastAsia" w:eastAsiaTheme="minorEastAsia"/>
          <w:snapToGrid w:val="0"/>
          <w:color w:val="000000"/>
          <w:szCs w:val="24"/>
        </w:rPr>
        <w:t>(7)岩土工程计算简图及计算成果图表等。</w:t>
      </w:r>
    </w:p>
    <w:p w14:paraId="1AC16E2A">
      <w:pPr>
        <w:pageBreakBefore w:val="0"/>
        <w:kinsoku/>
        <w:wordWrap/>
        <w:overflowPunct/>
        <w:topLinePunct w:val="0"/>
        <w:autoSpaceDE/>
        <w:autoSpaceDN/>
        <w:bidi w:val="0"/>
        <w:snapToGrid/>
        <w:spacing w:line="540" w:lineRule="exact"/>
        <w:ind w:firstLine="480" w:firstLineChars="200"/>
        <w:textAlignment w:val="auto"/>
        <w:rPr>
          <w:rFonts w:hint="default" w:cs="仿宋_GB2312" w:asciiTheme="minorEastAsia" w:hAnsiTheme="minorEastAsia" w:eastAsiaTheme="minorEastAsia"/>
          <w:snapToGrid w:val="0"/>
          <w:color w:val="000000"/>
          <w:szCs w:val="24"/>
          <w:lang w:val="en-US" w:eastAsia="zh-CN"/>
        </w:rPr>
      </w:pPr>
      <w:r>
        <w:rPr>
          <w:rFonts w:hint="eastAsia" w:cs="仿宋_GB2312" w:asciiTheme="minorEastAsia" w:hAnsiTheme="minorEastAsia" w:eastAsiaTheme="minorEastAsia"/>
          <w:snapToGrid w:val="0"/>
          <w:color w:val="000000"/>
          <w:szCs w:val="24"/>
          <w:lang w:val="en-US" w:eastAsia="zh-CN"/>
        </w:rPr>
        <w:t>5.2需要出具正式物探报告。</w:t>
      </w:r>
    </w:p>
    <w:p w14:paraId="43EEE0CB">
      <w:pPr>
        <w:pageBreakBefore w:val="0"/>
        <w:kinsoku/>
        <w:wordWrap/>
        <w:overflowPunct/>
        <w:topLinePunct w:val="0"/>
        <w:autoSpaceDE/>
        <w:autoSpaceDN/>
        <w:bidi w:val="0"/>
        <w:snapToGrid/>
        <w:spacing w:line="540" w:lineRule="exact"/>
        <w:ind w:firstLine="480" w:firstLineChars="200"/>
        <w:textAlignment w:val="auto"/>
        <w:rPr>
          <w:rFonts w:cs="仿宋_GB2312" w:asciiTheme="minorEastAsia" w:hAnsiTheme="minorEastAsia" w:eastAsiaTheme="minorEastAsia"/>
          <w:snapToGrid w:val="0"/>
          <w:color w:val="000000"/>
          <w:szCs w:val="24"/>
        </w:rPr>
      </w:pPr>
      <w:r>
        <w:rPr>
          <w:rFonts w:hint="eastAsia" w:cs="仿宋_GB2312" w:asciiTheme="minorEastAsia" w:hAnsiTheme="minorEastAsia" w:eastAsiaTheme="minorEastAsia"/>
          <w:szCs w:val="24"/>
        </w:rPr>
        <w:t>5.</w:t>
      </w:r>
      <w:r>
        <w:rPr>
          <w:rFonts w:hint="eastAsia" w:cs="仿宋_GB2312" w:asciiTheme="minorEastAsia" w:hAnsiTheme="minorEastAsia" w:eastAsiaTheme="minorEastAsia"/>
          <w:szCs w:val="24"/>
          <w:lang w:val="en-US" w:eastAsia="zh-CN"/>
        </w:rPr>
        <w:t>3</w:t>
      </w:r>
      <w:r>
        <w:rPr>
          <w:rFonts w:hint="eastAsia" w:cs="仿宋_GB2312" w:asciiTheme="minorEastAsia" w:hAnsiTheme="minorEastAsia" w:eastAsiaTheme="minorEastAsia"/>
          <w:snapToGrid w:val="0"/>
          <w:color w:val="000000"/>
          <w:szCs w:val="24"/>
        </w:rPr>
        <w:t>任务需要时，可提交下列专题报告：</w:t>
      </w:r>
    </w:p>
    <w:p w14:paraId="022DC557">
      <w:pPr>
        <w:pageBreakBefore w:val="0"/>
        <w:kinsoku/>
        <w:wordWrap/>
        <w:overflowPunct/>
        <w:topLinePunct w:val="0"/>
        <w:autoSpaceDE/>
        <w:autoSpaceDN/>
        <w:bidi w:val="0"/>
        <w:snapToGrid/>
        <w:spacing w:line="540" w:lineRule="exact"/>
        <w:ind w:firstLine="720" w:firstLineChars="300"/>
        <w:textAlignment w:val="auto"/>
        <w:rPr>
          <w:rFonts w:cs="仿宋_GB2312" w:asciiTheme="minorEastAsia" w:hAnsiTheme="minorEastAsia" w:eastAsiaTheme="minorEastAsia"/>
          <w:snapToGrid w:val="0"/>
          <w:color w:val="000000"/>
          <w:szCs w:val="24"/>
        </w:rPr>
      </w:pPr>
      <w:r>
        <w:rPr>
          <w:rFonts w:hint="eastAsia" w:cs="仿宋_GB2312" w:asciiTheme="minorEastAsia" w:hAnsiTheme="minorEastAsia" w:eastAsiaTheme="minorEastAsia"/>
          <w:snapToGrid w:val="0"/>
          <w:color w:val="000000"/>
          <w:szCs w:val="24"/>
        </w:rPr>
        <w:t>(1)岩土工程测试报告；</w:t>
      </w:r>
    </w:p>
    <w:p w14:paraId="5D188F6E">
      <w:pPr>
        <w:pageBreakBefore w:val="0"/>
        <w:kinsoku/>
        <w:wordWrap/>
        <w:overflowPunct/>
        <w:topLinePunct w:val="0"/>
        <w:autoSpaceDE/>
        <w:autoSpaceDN/>
        <w:bidi w:val="0"/>
        <w:snapToGrid/>
        <w:spacing w:line="540" w:lineRule="exact"/>
        <w:ind w:firstLine="720" w:firstLineChars="300"/>
        <w:textAlignment w:val="auto"/>
        <w:rPr>
          <w:rFonts w:cs="仿宋_GB2312" w:asciiTheme="minorEastAsia" w:hAnsiTheme="minorEastAsia" w:eastAsiaTheme="minorEastAsia"/>
          <w:snapToGrid w:val="0"/>
          <w:color w:val="000000"/>
          <w:szCs w:val="24"/>
        </w:rPr>
      </w:pPr>
      <w:r>
        <w:rPr>
          <w:rFonts w:hint="eastAsia" w:cs="仿宋_GB2312" w:asciiTheme="minorEastAsia" w:hAnsiTheme="minorEastAsia" w:eastAsiaTheme="minorEastAsia"/>
          <w:snapToGrid w:val="0"/>
          <w:color w:val="000000"/>
          <w:szCs w:val="24"/>
        </w:rPr>
        <w:t>(2)岩土工程检验或监测报告；</w:t>
      </w:r>
    </w:p>
    <w:p w14:paraId="72239426">
      <w:pPr>
        <w:pageBreakBefore w:val="0"/>
        <w:kinsoku/>
        <w:wordWrap/>
        <w:overflowPunct/>
        <w:topLinePunct w:val="0"/>
        <w:autoSpaceDE/>
        <w:autoSpaceDN/>
        <w:bidi w:val="0"/>
        <w:snapToGrid/>
        <w:spacing w:line="540" w:lineRule="exact"/>
        <w:ind w:firstLine="720" w:firstLineChars="300"/>
        <w:textAlignment w:val="auto"/>
        <w:rPr>
          <w:rFonts w:cs="仿宋_GB2312" w:asciiTheme="minorEastAsia" w:hAnsiTheme="minorEastAsia" w:eastAsiaTheme="minorEastAsia"/>
          <w:snapToGrid w:val="0"/>
          <w:color w:val="000000"/>
          <w:szCs w:val="24"/>
        </w:rPr>
      </w:pPr>
      <w:r>
        <w:rPr>
          <w:rFonts w:hint="eastAsia" w:cs="仿宋_GB2312" w:asciiTheme="minorEastAsia" w:hAnsiTheme="minorEastAsia" w:eastAsiaTheme="minorEastAsia"/>
          <w:snapToGrid w:val="0"/>
          <w:color w:val="000000"/>
          <w:szCs w:val="24"/>
        </w:rPr>
        <w:t>(3)岩土工程事故调查与分析报告；</w:t>
      </w:r>
    </w:p>
    <w:p w14:paraId="67A3945B">
      <w:pPr>
        <w:pageBreakBefore w:val="0"/>
        <w:kinsoku/>
        <w:wordWrap/>
        <w:overflowPunct/>
        <w:topLinePunct w:val="0"/>
        <w:autoSpaceDE/>
        <w:autoSpaceDN/>
        <w:bidi w:val="0"/>
        <w:snapToGrid/>
        <w:spacing w:line="540" w:lineRule="exact"/>
        <w:ind w:firstLine="720" w:firstLineChars="300"/>
        <w:textAlignment w:val="auto"/>
        <w:rPr>
          <w:rFonts w:cs="仿宋_GB2312" w:asciiTheme="minorEastAsia" w:hAnsiTheme="minorEastAsia" w:eastAsiaTheme="minorEastAsia"/>
          <w:snapToGrid w:val="0"/>
          <w:color w:val="000000"/>
          <w:szCs w:val="24"/>
        </w:rPr>
      </w:pPr>
      <w:r>
        <w:rPr>
          <w:rFonts w:hint="eastAsia" w:cs="仿宋_GB2312" w:asciiTheme="minorEastAsia" w:hAnsiTheme="minorEastAsia" w:eastAsiaTheme="minorEastAsia"/>
          <w:snapToGrid w:val="0"/>
          <w:color w:val="000000"/>
          <w:szCs w:val="24"/>
        </w:rPr>
        <w:t>(4)岩土利用、整治或改造方案报告；</w:t>
      </w:r>
    </w:p>
    <w:p w14:paraId="2265B603">
      <w:pPr>
        <w:pageBreakBefore w:val="0"/>
        <w:kinsoku/>
        <w:wordWrap/>
        <w:overflowPunct/>
        <w:topLinePunct w:val="0"/>
        <w:autoSpaceDE/>
        <w:autoSpaceDN/>
        <w:bidi w:val="0"/>
        <w:snapToGrid/>
        <w:spacing w:line="540" w:lineRule="exact"/>
        <w:ind w:firstLine="720" w:firstLineChars="300"/>
        <w:textAlignment w:val="auto"/>
        <w:rPr>
          <w:rFonts w:cs="仿宋_GB2312" w:asciiTheme="minorEastAsia" w:hAnsiTheme="minorEastAsia" w:eastAsiaTheme="minorEastAsia"/>
          <w:snapToGrid w:val="0"/>
          <w:color w:val="000000"/>
          <w:szCs w:val="24"/>
        </w:rPr>
      </w:pPr>
      <w:bookmarkStart w:id="12" w:name="_Hlk51337615"/>
      <w:r>
        <w:rPr>
          <w:rFonts w:hint="eastAsia" w:cs="仿宋_GB2312" w:asciiTheme="minorEastAsia" w:hAnsiTheme="minorEastAsia" w:eastAsiaTheme="minorEastAsia"/>
          <w:snapToGrid w:val="0"/>
          <w:color w:val="000000"/>
          <w:szCs w:val="24"/>
        </w:rPr>
        <w:t>(5)有关岩土工程问题的专门技术咨询报告等</w:t>
      </w:r>
      <w:bookmarkEnd w:id="12"/>
      <w:r>
        <w:rPr>
          <w:rFonts w:hint="eastAsia" w:cs="仿宋_GB2312" w:asciiTheme="minorEastAsia" w:hAnsiTheme="minorEastAsia" w:eastAsiaTheme="minorEastAsia"/>
          <w:snapToGrid w:val="0"/>
          <w:color w:val="000000"/>
          <w:szCs w:val="24"/>
        </w:rPr>
        <w:t>；</w:t>
      </w:r>
    </w:p>
    <w:p w14:paraId="79F6C512">
      <w:pPr>
        <w:pageBreakBefore w:val="0"/>
        <w:kinsoku/>
        <w:wordWrap/>
        <w:overflowPunct/>
        <w:topLinePunct w:val="0"/>
        <w:autoSpaceDE/>
        <w:autoSpaceDN/>
        <w:bidi w:val="0"/>
        <w:snapToGrid/>
        <w:spacing w:line="540" w:lineRule="exact"/>
        <w:ind w:firstLine="720" w:firstLineChars="300"/>
        <w:textAlignment w:val="auto"/>
        <w:rPr>
          <w:rFonts w:cs="仿宋_GB2312" w:asciiTheme="minorEastAsia" w:hAnsiTheme="minorEastAsia" w:eastAsiaTheme="minorEastAsia"/>
          <w:snapToGrid w:val="0"/>
          <w:color w:val="000000"/>
          <w:szCs w:val="24"/>
        </w:rPr>
      </w:pPr>
      <w:r>
        <w:rPr>
          <w:rFonts w:hint="eastAsia" w:cs="仿宋_GB2312" w:asciiTheme="minorEastAsia" w:hAnsiTheme="minorEastAsia" w:eastAsiaTheme="minorEastAsia"/>
          <w:snapToGrid w:val="0"/>
          <w:color w:val="000000"/>
          <w:szCs w:val="24"/>
        </w:rPr>
        <w:t>(6)抗浮工程专项勘察报告。</w:t>
      </w:r>
    </w:p>
    <w:p w14:paraId="45060A81">
      <w:pPr>
        <w:pageBreakBefore w:val="0"/>
        <w:kinsoku/>
        <w:wordWrap/>
        <w:overflowPunct/>
        <w:topLinePunct w:val="0"/>
        <w:autoSpaceDE/>
        <w:autoSpaceDN/>
        <w:bidi w:val="0"/>
        <w:snapToGrid/>
        <w:spacing w:line="540" w:lineRule="exact"/>
        <w:ind w:firstLine="480" w:firstLineChars="200"/>
        <w:textAlignment w:val="auto"/>
        <w:rPr>
          <w:rFonts w:cs="仿宋_GB2312" w:asciiTheme="minorEastAsia" w:hAnsiTheme="minorEastAsia" w:eastAsiaTheme="minorEastAsia"/>
          <w:szCs w:val="24"/>
        </w:rPr>
      </w:pPr>
      <w:r>
        <w:rPr>
          <w:rFonts w:hint="eastAsia" w:cs="仿宋_GB2312" w:asciiTheme="minorEastAsia" w:hAnsiTheme="minorEastAsia" w:eastAsiaTheme="minorEastAsia"/>
          <w:szCs w:val="24"/>
        </w:rPr>
        <w:t>5.</w:t>
      </w:r>
      <w:r>
        <w:rPr>
          <w:rFonts w:hint="eastAsia" w:cs="仿宋_GB2312" w:asciiTheme="minorEastAsia" w:hAnsiTheme="minorEastAsia" w:eastAsiaTheme="minorEastAsia"/>
          <w:szCs w:val="24"/>
          <w:lang w:val="en-US" w:eastAsia="zh-CN"/>
        </w:rPr>
        <w:t>4</w:t>
      </w:r>
      <w:r>
        <w:rPr>
          <w:rFonts w:hint="eastAsia" w:cs="仿宋_GB2312" w:asciiTheme="minorEastAsia" w:hAnsiTheme="minorEastAsia" w:eastAsiaTheme="minorEastAsia"/>
          <w:szCs w:val="24"/>
        </w:rPr>
        <w:t>工程测量成果应包括但不限于以下内容:</w:t>
      </w:r>
    </w:p>
    <w:p w14:paraId="56209A30">
      <w:pPr>
        <w:pStyle w:val="6"/>
        <w:pageBreakBefore w:val="0"/>
        <w:numPr>
          <w:ilvl w:val="0"/>
          <w:numId w:val="5"/>
        </w:numPr>
        <w:kinsoku/>
        <w:wordWrap/>
        <w:overflowPunct/>
        <w:topLinePunct w:val="0"/>
        <w:autoSpaceDE/>
        <w:autoSpaceDN/>
        <w:bidi w:val="0"/>
        <w:snapToGrid/>
        <w:spacing w:before="0" w:after="0" w:line="540" w:lineRule="exact"/>
        <w:textAlignment w:val="auto"/>
        <w:rPr>
          <w:rFonts w:cs="仿宋_GB2312" w:asciiTheme="minorEastAsia" w:hAnsiTheme="minorEastAsia" w:eastAsiaTheme="minorEastAsia"/>
          <w:szCs w:val="24"/>
        </w:rPr>
      </w:pPr>
      <w:r>
        <w:rPr>
          <w:rFonts w:hint="eastAsia" w:cs="仿宋_GB2312" w:asciiTheme="minorEastAsia" w:hAnsiTheme="minorEastAsia" w:eastAsiaTheme="minorEastAsia"/>
          <w:szCs w:val="24"/>
        </w:rPr>
        <w:t>测量技术报告；</w:t>
      </w:r>
    </w:p>
    <w:p w14:paraId="042A65BA">
      <w:pPr>
        <w:pStyle w:val="6"/>
        <w:pageBreakBefore w:val="0"/>
        <w:numPr>
          <w:ilvl w:val="0"/>
          <w:numId w:val="5"/>
        </w:numPr>
        <w:kinsoku/>
        <w:wordWrap/>
        <w:overflowPunct/>
        <w:topLinePunct w:val="0"/>
        <w:autoSpaceDE/>
        <w:autoSpaceDN/>
        <w:bidi w:val="0"/>
        <w:snapToGrid/>
        <w:spacing w:before="0" w:after="0" w:line="540" w:lineRule="exact"/>
        <w:textAlignment w:val="auto"/>
        <w:rPr>
          <w:rFonts w:cs="仿宋_GB2312" w:asciiTheme="minorEastAsia" w:hAnsiTheme="minorEastAsia" w:eastAsiaTheme="minorEastAsia"/>
          <w:szCs w:val="24"/>
        </w:rPr>
      </w:pPr>
      <w:r>
        <w:rPr>
          <w:rFonts w:hint="eastAsia" w:cs="仿宋_GB2312" w:asciiTheme="minorEastAsia" w:hAnsiTheme="minorEastAsia" w:eastAsiaTheme="minorEastAsia"/>
          <w:szCs w:val="24"/>
        </w:rPr>
        <w:t>测量成果比例：1:500地形图</w:t>
      </w:r>
      <w:r>
        <w:rPr>
          <w:rFonts w:hint="eastAsia" w:cs="仿宋_GB2312" w:asciiTheme="minorEastAsia" w:hAnsiTheme="minorEastAsia" w:eastAsiaTheme="minorEastAsia"/>
          <w:szCs w:val="24"/>
          <w:lang w:eastAsia="zh-CN"/>
        </w:rPr>
        <w:t>，</w:t>
      </w:r>
      <w:r>
        <w:rPr>
          <w:rFonts w:hint="eastAsia" w:cs="仿宋_GB2312" w:asciiTheme="minorEastAsia" w:hAnsiTheme="minorEastAsia" w:eastAsiaTheme="minorEastAsia"/>
          <w:color w:val="auto"/>
          <w:szCs w:val="24"/>
          <w:highlight w:val="none"/>
        </w:rPr>
        <w:t>坐标系采用海南海口平面坐标系、独立坐标系以及大地2000分别出具成果</w:t>
      </w:r>
      <w:r>
        <w:rPr>
          <w:rFonts w:hint="eastAsia" w:cs="仿宋_GB2312" w:asciiTheme="minorEastAsia" w:hAnsiTheme="minorEastAsia" w:eastAsiaTheme="minorEastAsia"/>
          <w:color w:val="auto"/>
          <w:szCs w:val="24"/>
        </w:rPr>
        <w:t>，高程系统采用国家1985高程</w:t>
      </w:r>
      <w:r>
        <w:rPr>
          <w:rFonts w:hint="eastAsia" w:cs="仿宋_GB2312" w:asciiTheme="minorEastAsia" w:hAnsiTheme="minorEastAsia" w:eastAsiaTheme="minorEastAsia"/>
          <w:color w:val="auto"/>
          <w:szCs w:val="24"/>
          <w:lang w:eastAsia="zh-CN"/>
        </w:rPr>
        <w:t>）</w:t>
      </w:r>
      <w:r>
        <w:rPr>
          <w:rFonts w:hint="eastAsia" w:cs="仿宋_GB2312" w:asciiTheme="minorEastAsia" w:hAnsiTheme="minorEastAsia" w:eastAsiaTheme="minorEastAsia"/>
          <w:color w:val="auto"/>
          <w:szCs w:val="24"/>
        </w:rPr>
        <w:t>。</w:t>
      </w:r>
    </w:p>
    <w:p w14:paraId="5795AA2B">
      <w:pPr>
        <w:pStyle w:val="6"/>
        <w:pageBreakBefore w:val="0"/>
        <w:numPr>
          <w:ilvl w:val="0"/>
          <w:numId w:val="5"/>
        </w:numPr>
        <w:kinsoku/>
        <w:wordWrap/>
        <w:overflowPunct/>
        <w:topLinePunct w:val="0"/>
        <w:autoSpaceDE/>
        <w:autoSpaceDN/>
        <w:bidi w:val="0"/>
        <w:snapToGrid/>
        <w:spacing w:before="0" w:after="0" w:line="540" w:lineRule="exact"/>
        <w:textAlignment w:val="auto"/>
        <w:rPr>
          <w:rFonts w:cs="仿宋_GB2312" w:asciiTheme="minorEastAsia" w:hAnsiTheme="minorEastAsia" w:eastAsiaTheme="minorEastAsia"/>
          <w:szCs w:val="24"/>
        </w:rPr>
      </w:pPr>
      <w:r>
        <w:rPr>
          <w:rFonts w:hint="eastAsia" w:cs="仿宋_GB2312" w:asciiTheme="minorEastAsia" w:hAnsiTheme="minorEastAsia" w:eastAsiaTheme="minorEastAsia"/>
          <w:szCs w:val="24"/>
        </w:rPr>
        <w:t>管线</w:t>
      </w:r>
      <w:r>
        <w:rPr>
          <w:rFonts w:hint="eastAsia" w:cs="仿宋_GB2312" w:asciiTheme="minorEastAsia" w:hAnsiTheme="minorEastAsia" w:eastAsiaTheme="minorEastAsia"/>
          <w:szCs w:val="24"/>
          <w:lang w:val="en-US" w:eastAsia="zh-CN"/>
        </w:rPr>
        <w:t>调查</w:t>
      </w:r>
      <w:r>
        <w:rPr>
          <w:rFonts w:hint="eastAsia" w:cs="仿宋_GB2312" w:asciiTheme="minorEastAsia" w:hAnsiTheme="minorEastAsia" w:eastAsiaTheme="minorEastAsia"/>
          <w:szCs w:val="24"/>
        </w:rPr>
        <w:t>资料成果；</w:t>
      </w:r>
    </w:p>
    <w:p w14:paraId="644B797E">
      <w:pPr>
        <w:pStyle w:val="6"/>
        <w:pageBreakBefore w:val="0"/>
        <w:numPr>
          <w:ilvl w:val="0"/>
          <w:numId w:val="5"/>
        </w:numPr>
        <w:kinsoku/>
        <w:wordWrap/>
        <w:overflowPunct/>
        <w:topLinePunct w:val="0"/>
        <w:autoSpaceDE/>
        <w:autoSpaceDN/>
        <w:bidi w:val="0"/>
        <w:snapToGrid/>
        <w:spacing w:before="0" w:after="0" w:line="540" w:lineRule="exact"/>
        <w:textAlignment w:val="auto"/>
        <w:rPr>
          <w:rFonts w:cs="仿宋_GB2312" w:asciiTheme="minorEastAsia" w:hAnsiTheme="minorEastAsia" w:eastAsiaTheme="minorEastAsia"/>
          <w:szCs w:val="24"/>
        </w:rPr>
      </w:pPr>
      <w:r>
        <w:rPr>
          <w:rFonts w:hint="eastAsia" w:cs="仿宋_GB2312" w:asciiTheme="minorEastAsia" w:hAnsiTheme="minorEastAsia" w:eastAsiaTheme="minorEastAsia"/>
          <w:szCs w:val="24"/>
        </w:rPr>
        <w:t>测量成果包括盖章的正式文本资料和对应的电子文件；</w:t>
      </w:r>
    </w:p>
    <w:p w14:paraId="46740231">
      <w:pPr>
        <w:pStyle w:val="6"/>
        <w:pageBreakBefore w:val="0"/>
        <w:numPr>
          <w:ilvl w:val="0"/>
          <w:numId w:val="0"/>
        </w:numPr>
        <w:kinsoku/>
        <w:wordWrap/>
        <w:overflowPunct/>
        <w:topLinePunct w:val="0"/>
        <w:autoSpaceDE/>
        <w:autoSpaceDN/>
        <w:bidi w:val="0"/>
        <w:snapToGrid/>
        <w:spacing w:before="0" w:after="0" w:line="540" w:lineRule="exact"/>
        <w:textAlignment w:val="auto"/>
        <w:rPr>
          <w:rFonts w:hint="default" w:cs="仿宋_GB2312" w:asciiTheme="minorEastAsia" w:hAnsiTheme="minorEastAsia" w:eastAsiaTheme="minorEastAsia"/>
          <w:szCs w:val="24"/>
          <w:lang w:val="en-US" w:eastAsia="zh-CN"/>
        </w:rPr>
      </w:pPr>
    </w:p>
    <w:p w14:paraId="7C64A319">
      <w:pPr>
        <w:pageBreakBefore w:val="0"/>
        <w:kinsoku/>
        <w:wordWrap/>
        <w:overflowPunct/>
        <w:topLinePunct w:val="0"/>
        <w:autoSpaceDE/>
        <w:autoSpaceDN/>
        <w:bidi w:val="0"/>
        <w:snapToGrid/>
        <w:spacing w:line="540" w:lineRule="exact"/>
        <w:ind w:firstLine="480" w:firstLineChars="200"/>
        <w:textAlignment w:val="auto"/>
        <w:rPr>
          <w:rFonts w:hint="default" w:cs="仿宋_GB2312" w:asciiTheme="minorEastAsia" w:hAnsiTheme="minorEastAsia" w:eastAsiaTheme="minorEastAsia"/>
          <w:szCs w:val="24"/>
          <w:lang w:val="en-US" w:eastAsia="zh-CN"/>
        </w:rPr>
      </w:pPr>
      <w:r>
        <w:rPr>
          <w:rFonts w:hint="eastAsia" w:cs="仿宋_GB2312" w:asciiTheme="minorEastAsia" w:hAnsiTheme="minorEastAsia" w:eastAsiaTheme="minorEastAsia"/>
          <w:szCs w:val="24"/>
        </w:rPr>
        <w:t>5.</w:t>
      </w:r>
      <w:r>
        <w:rPr>
          <w:rFonts w:hint="eastAsia" w:cs="仿宋_GB2312" w:asciiTheme="minorEastAsia" w:hAnsiTheme="minorEastAsia" w:eastAsiaTheme="minorEastAsia"/>
          <w:szCs w:val="24"/>
          <w:lang w:val="en-US" w:eastAsia="zh-CN"/>
        </w:rPr>
        <w:t>5土壤氡检验报告；</w:t>
      </w:r>
    </w:p>
    <w:p w14:paraId="1D7F7900">
      <w:pPr>
        <w:pageBreakBefore w:val="0"/>
        <w:kinsoku/>
        <w:wordWrap/>
        <w:overflowPunct/>
        <w:topLinePunct w:val="0"/>
        <w:autoSpaceDE/>
        <w:autoSpaceDN/>
        <w:bidi w:val="0"/>
        <w:snapToGrid/>
        <w:spacing w:line="540" w:lineRule="exact"/>
        <w:ind w:firstLine="480" w:firstLineChars="200"/>
        <w:textAlignment w:val="auto"/>
        <w:rPr>
          <w:rFonts w:cs="仿宋_GB2312" w:asciiTheme="minorEastAsia" w:hAnsiTheme="minorEastAsia" w:eastAsiaTheme="minorEastAsia"/>
          <w:szCs w:val="24"/>
        </w:rPr>
      </w:pPr>
      <w:r>
        <w:rPr>
          <w:rFonts w:hint="eastAsia" w:cs="仿宋_GB2312" w:asciiTheme="minorEastAsia" w:hAnsiTheme="minorEastAsia" w:eastAsiaTheme="minorEastAsia"/>
          <w:szCs w:val="24"/>
          <w:lang w:val="en-US" w:eastAsia="zh-CN"/>
        </w:rPr>
        <w:t>5.6</w:t>
      </w:r>
      <w:r>
        <w:rPr>
          <w:rFonts w:hint="eastAsia" w:cs="仿宋_GB2312" w:asciiTheme="minorEastAsia" w:hAnsiTheme="minorEastAsia" w:eastAsiaTheme="minorEastAsia"/>
          <w:szCs w:val="24"/>
        </w:rPr>
        <w:t>规范指定的其它专门性文件。</w:t>
      </w:r>
    </w:p>
    <w:p w14:paraId="247BD6AA">
      <w:pPr>
        <w:pStyle w:val="2"/>
        <w:pageBreakBefore w:val="0"/>
        <w:numPr>
          <w:ilvl w:val="0"/>
          <w:numId w:val="6"/>
        </w:numPr>
        <w:kinsoku/>
        <w:wordWrap/>
        <w:overflowPunct/>
        <w:topLinePunct w:val="0"/>
        <w:autoSpaceDE/>
        <w:autoSpaceDN/>
        <w:bidi w:val="0"/>
        <w:snapToGrid/>
        <w:spacing w:before="0" w:after="0" w:line="540" w:lineRule="exact"/>
        <w:ind w:leftChars="200"/>
        <w:textAlignment w:val="auto"/>
        <w:rPr>
          <w:rFonts w:hint="eastAsia"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工期要求</w:t>
      </w:r>
      <w:bookmarkEnd w:id="10"/>
      <w:bookmarkEnd w:id="11"/>
    </w:p>
    <w:p w14:paraId="27EC52D4">
      <w:pPr>
        <w:pageBreakBefore w:val="0"/>
        <w:numPr>
          <w:ilvl w:val="0"/>
          <w:numId w:val="0"/>
        </w:numPr>
        <w:kinsoku/>
        <w:wordWrap/>
        <w:overflowPunct/>
        <w:bidi w:val="0"/>
        <w:snapToGrid/>
        <w:spacing w:line="540" w:lineRule="exact"/>
        <w:textAlignment w:val="auto"/>
        <w:rPr>
          <w:rFonts w:hint="default" w:eastAsia="仿宋_GB2312"/>
          <w:lang w:val="en-US" w:eastAsia="zh-CN"/>
        </w:rPr>
      </w:pPr>
      <w:r>
        <w:rPr>
          <w:rFonts w:hint="eastAsia"/>
          <w:lang w:val="en-US" w:eastAsia="zh-CN"/>
        </w:rPr>
        <w:t xml:space="preserve">  </w:t>
      </w:r>
      <w:r>
        <w:rPr>
          <w:rFonts w:hint="eastAsia" w:cs="仿宋_GB2312" w:asciiTheme="minorEastAsia" w:hAnsiTheme="minorEastAsia" w:eastAsiaTheme="minorEastAsia"/>
          <w:szCs w:val="24"/>
          <w:lang w:val="en-US" w:eastAsia="zh-CN"/>
        </w:rPr>
        <w:t xml:space="preserve">  计划工期：30日历天</w:t>
      </w:r>
    </w:p>
    <w:p w14:paraId="0995607C">
      <w:pPr>
        <w:pageBreakBefore w:val="0"/>
        <w:widowControl w:val="0"/>
        <w:kinsoku/>
        <w:wordWrap/>
        <w:overflowPunct/>
        <w:topLinePunct w:val="0"/>
        <w:autoSpaceDE/>
        <w:autoSpaceDN/>
        <w:bidi w:val="0"/>
        <w:adjustRightInd/>
        <w:snapToGrid/>
        <w:spacing w:line="540" w:lineRule="exact"/>
        <w:ind w:left="0" w:firstLine="480" w:firstLineChars="200"/>
        <w:jc w:val="both"/>
        <w:textAlignment w:val="auto"/>
        <w:rPr>
          <w:rFonts w:hint="eastAsia" w:cs="仿宋_GB2312" w:asciiTheme="minorEastAsia" w:hAnsiTheme="minorEastAsia" w:eastAsiaTheme="minorEastAsia"/>
          <w:color w:val="FF0000"/>
          <w:szCs w:val="24"/>
          <w:lang w:eastAsia="zh-CN"/>
        </w:rPr>
      </w:pPr>
      <w:bookmarkStart w:id="13" w:name="_Toc3103"/>
      <w:bookmarkStart w:id="14" w:name="_Toc32153"/>
      <w:r>
        <w:rPr>
          <w:rFonts w:hint="eastAsia" w:cs="仿宋_GB2312" w:asciiTheme="minorEastAsia" w:hAnsiTheme="minorEastAsia" w:eastAsiaTheme="minorEastAsia"/>
          <w:szCs w:val="24"/>
        </w:rPr>
        <w:t>6.1确定中标人后</w:t>
      </w:r>
      <w:r>
        <w:rPr>
          <w:rFonts w:hint="eastAsia" w:cs="仿宋_GB2312" w:asciiTheme="minorEastAsia" w:hAnsiTheme="minorEastAsia" w:eastAsiaTheme="minorEastAsia"/>
          <w:color w:val="FF0000"/>
          <w:szCs w:val="24"/>
          <w:lang w:val="en-US" w:eastAsia="zh-CN"/>
        </w:rPr>
        <w:t>15</w:t>
      </w:r>
      <w:r>
        <w:rPr>
          <w:rFonts w:hint="eastAsia" w:cs="仿宋_GB2312" w:asciiTheme="minorEastAsia" w:hAnsiTheme="minorEastAsia" w:eastAsiaTheme="minorEastAsia"/>
          <w:color w:val="FF0000"/>
          <w:szCs w:val="24"/>
        </w:rPr>
        <w:t>日历天内</w:t>
      </w:r>
      <w:r>
        <w:rPr>
          <w:rFonts w:hint="eastAsia" w:cs="仿宋_GB2312" w:asciiTheme="minorEastAsia" w:hAnsiTheme="minorEastAsia" w:eastAsiaTheme="minorEastAsia"/>
          <w:color w:val="FF0000"/>
          <w:szCs w:val="24"/>
          <w:lang w:eastAsia="zh-Hans"/>
        </w:rPr>
        <w:t>提交工程</w:t>
      </w:r>
      <w:r>
        <w:rPr>
          <w:rFonts w:hint="eastAsia" w:cs="仿宋_GB2312" w:asciiTheme="minorEastAsia" w:hAnsiTheme="minorEastAsia" w:eastAsiaTheme="minorEastAsia"/>
          <w:color w:val="FF0000"/>
          <w:szCs w:val="24"/>
          <w:lang w:eastAsia="zh-CN"/>
        </w:rPr>
        <w:t>物探</w:t>
      </w:r>
      <w:r>
        <w:rPr>
          <w:rFonts w:hint="eastAsia" w:cs="仿宋_GB2312" w:asciiTheme="minorEastAsia" w:hAnsiTheme="minorEastAsia" w:eastAsiaTheme="minorEastAsia"/>
          <w:color w:val="FF0000"/>
          <w:szCs w:val="24"/>
          <w:lang w:val="en-US" w:eastAsia="zh-CN"/>
        </w:rPr>
        <w:t>报告</w:t>
      </w:r>
      <w:r>
        <w:rPr>
          <w:rFonts w:hint="eastAsia" w:cs="仿宋_GB2312" w:asciiTheme="minorEastAsia" w:hAnsiTheme="minorEastAsia" w:eastAsiaTheme="minorEastAsia"/>
          <w:color w:val="FF0000"/>
          <w:szCs w:val="24"/>
          <w:lang w:eastAsia="zh-CN"/>
        </w:rPr>
        <w:t>，</w:t>
      </w:r>
      <w:r>
        <w:rPr>
          <w:rFonts w:hint="eastAsia" w:cs="仿宋_GB2312" w:asciiTheme="minorEastAsia" w:hAnsiTheme="minorEastAsia" w:eastAsiaTheme="minorEastAsia"/>
          <w:color w:val="FF0000"/>
          <w:szCs w:val="24"/>
          <w:lang w:val="en-US" w:eastAsia="zh-CN"/>
        </w:rPr>
        <w:t>20</w:t>
      </w:r>
      <w:r>
        <w:rPr>
          <w:rFonts w:hint="eastAsia" w:cs="仿宋_GB2312" w:asciiTheme="minorEastAsia" w:hAnsiTheme="minorEastAsia" w:eastAsiaTheme="minorEastAsia"/>
          <w:color w:val="FF0000"/>
          <w:szCs w:val="24"/>
        </w:rPr>
        <w:t>日历天</w:t>
      </w:r>
      <w:r>
        <w:rPr>
          <w:rFonts w:hint="eastAsia" w:cs="仿宋_GB2312" w:asciiTheme="minorEastAsia" w:hAnsiTheme="minorEastAsia" w:eastAsiaTheme="minorEastAsia"/>
          <w:color w:val="FF0000"/>
          <w:szCs w:val="24"/>
          <w:lang w:val="en-US" w:eastAsia="zh-CN"/>
        </w:rPr>
        <w:t>内提交地形图</w:t>
      </w:r>
      <w:r>
        <w:rPr>
          <w:rFonts w:hint="eastAsia" w:cs="仿宋_GB2312" w:asciiTheme="minorEastAsia" w:hAnsiTheme="minorEastAsia" w:eastAsiaTheme="minorEastAsia"/>
          <w:color w:val="FF0000"/>
          <w:szCs w:val="24"/>
          <w:lang w:eastAsia="zh-CN"/>
        </w:rPr>
        <w:t>；</w:t>
      </w:r>
    </w:p>
    <w:p w14:paraId="3B25E07A">
      <w:pPr>
        <w:pageBreakBefore w:val="0"/>
        <w:widowControl w:val="0"/>
        <w:kinsoku/>
        <w:wordWrap/>
        <w:overflowPunct/>
        <w:topLinePunct w:val="0"/>
        <w:autoSpaceDE/>
        <w:autoSpaceDN/>
        <w:bidi w:val="0"/>
        <w:adjustRightInd/>
        <w:snapToGrid/>
        <w:spacing w:line="540" w:lineRule="exact"/>
        <w:ind w:left="0" w:firstLine="480" w:firstLineChars="200"/>
        <w:jc w:val="both"/>
        <w:textAlignment w:val="auto"/>
        <w:rPr>
          <w:rFonts w:hint="eastAsia" w:cs="仿宋_GB2312" w:asciiTheme="minorEastAsia" w:hAnsiTheme="minorEastAsia" w:eastAsiaTheme="minorEastAsia"/>
          <w:szCs w:val="24"/>
          <w:lang w:eastAsia="zh-CN"/>
        </w:rPr>
      </w:pPr>
      <w:r>
        <w:rPr>
          <w:rFonts w:hint="eastAsia" w:cs="仿宋_GB2312" w:asciiTheme="minorEastAsia" w:hAnsiTheme="minorEastAsia" w:eastAsiaTheme="minorEastAsia"/>
          <w:color w:val="auto"/>
          <w:szCs w:val="24"/>
          <w:lang w:val="en-US" w:eastAsia="zh-CN"/>
        </w:rPr>
        <w:t>6.2</w:t>
      </w:r>
      <w:r>
        <w:rPr>
          <w:rFonts w:hint="eastAsia" w:cs="仿宋_GB2312" w:asciiTheme="minorEastAsia" w:hAnsiTheme="minorEastAsia" w:eastAsiaTheme="minorEastAsia"/>
          <w:szCs w:val="24"/>
        </w:rPr>
        <w:t>确定中标人后</w:t>
      </w:r>
      <w:r>
        <w:rPr>
          <w:rFonts w:hint="eastAsia" w:cs="仿宋_GB2312" w:asciiTheme="minorEastAsia" w:hAnsiTheme="minorEastAsia" w:eastAsiaTheme="minorEastAsia"/>
          <w:color w:val="FF0000"/>
          <w:szCs w:val="24"/>
          <w:lang w:val="en-US" w:eastAsia="zh-CN"/>
        </w:rPr>
        <w:t>10</w:t>
      </w:r>
      <w:r>
        <w:rPr>
          <w:rFonts w:hint="eastAsia" w:cs="仿宋_GB2312" w:asciiTheme="minorEastAsia" w:hAnsiTheme="minorEastAsia" w:eastAsiaTheme="minorEastAsia"/>
          <w:color w:val="FF0000"/>
          <w:szCs w:val="24"/>
        </w:rPr>
        <w:t>日历天内提交勘察中间成果</w:t>
      </w:r>
      <w:r>
        <w:rPr>
          <w:rFonts w:hint="eastAsia" w:cs="仿宋_GB2312" w:asciiTheme="minorEastAsia" w:hAnsiTheme="minorEastAsia" w:eastAsiaTheme="minorEastAsia"/>
          <w:szCs w:val="24"/>
          <w:lang w:eastAsia="zh-CN"/>
        </w:rPr>
        <w:t>；</w:t>
      </w:r>
    </w:p>
    <w:p w14:paraId="66D6A42D">
      <w:pPr>
        <w:pageBreakBefore w:val="0"/>
        <w:widowControl w:val="0"/>
        <w:kinsoku/>
        <w:wordWrap/>
        <w:overflowPunct/>
        <w:topLinePunct w:val="0"/>
        <w:autoSpaceDE/>
        <w:autoSpaceDN/>
        <w:bidi w:val="0"/>
        <w:adjustRightInd/>
        <w:snapToGrid/>
        <w:spacing w:line="540" w:lineRule="exact"/>
        <w:ind w:left="0" w:firstLine="480" w:firstLineChars="200"/>
        <w:jc w:val="both"/>
        <w:textAlignment w:val="auto"/>
        <w:rPr>
          <w:rFonts w:hint="eastAsia" w:cs="仿宋_GB2312" w:asciiTheme="minorEastAsia" w:hAnsiTheme="minorEastAsia" w:eastAsiaTheme="minorEastAsia"/>
          <w:szCs w:val="24"/>
          <w:lang w:val="en-US" w:eastAsia="zh-CN"/>
        </w:rPr>
      </w:pPr>
      <w:r>
        <w:rPr>
          <w:rFonts w:hint="eastAsia" w:cs="仿宋_GB2312" w:asciiTheme="minorEastAsia" w:hAnsiTheme="minorEastAsia" w:eastAsiaTheme="minorEastAsia"/>
          <w:szCs w:val="24"/>
        </w:rPr>
        <w:t>6.</w:t>
      </w:r>
      <w:r>
        <w:rPr>
          <w:rFonts w:hint="eastAsia" w:cs="仿宋_GB2312" w:asciiTheme="minorEastAsia" w:hAnsiTheme="minorEastAsia" w:eastAsiaTheme="minorEastAsia"/>
          <w:szCs w:val="24"/>
          <w:lang w:val="en-US" w:eastAsia="zh-CN"/>
        </w:rPr>
        <w:t>3</w:t>
      </w:r>
      <w:r>
        <w:rPr>
          <w:rFonts w:hint="eastAsia" w:cs="仿宋_GB2312" w:asciiTheme="minorEastAsia" w:hAnsiTheme="minorEastAsia" w:eastAsiaTheme="minorEastAsia"/>
          <w:szCs w:val="24"/>
        </w:rPr>
        <w:t>确定中标人后</w:t>
      </w:r>
      <w:r>
        <w:rPr>
          <w:rFonts w:hint="eastAsia" w:cs="仿宋_GB2312" w:asciiTheme="minorEastAsia" w:hAnsiTheme="minorEastAsia" w:eastAsiaTheme="minorEastAsia"/>
          <w:color w:val="FF0000"/>
          <w:szCs w:val="24"/>
          <w:lang w:val="en-US" w:eastAsia="zh-CN"/>
        </w:rPr>
        <w:t>30</w:t>
      </w:r>
      <w:r>
        <w:rPr>
          <w:rFonts w:hint="eastAsia" w:cs="仿宋_GB2312" w:asciiTheme="minorEastAsia" w:hAnsiTheme="minorEastAsia" w:eastAsiaTheme="minorEastAsia"/>
          <w:color w:val="FF0000"/>
          <w:szCs w:val="24"/>
        </w:rPr>
        <w:t>日历天内提交</w:t>
      </w:r>
      <w:r>
        <w:rPr>
          <w:rFonts w:hint="eastAsia" w:cs="仿宋_GB2312" w:asciiTheme="minorEastAsia" w:hAnsiTheme="minorEastAsia" w:eastAsiaTheme="minorEastAsia"/>
          <w:color w:val="FF0000"/>
          <w:szCs w:val="24"/>
          <w:lang w:val="en-US" w:eastAsia="zh-CN"/>
        </w:rPr>
        <w:t>详勘</w:t>
      </w:r>
      <w:r>
        <w:rPr>
          <w:rFonts w:hint="eastAsia" w:cs="仿宋_GB2312" w:asciiTheme="minorEastAsia" w:hAnsiTheme="minorEastAsia" w:eastAsiaTheme="minorEastAsia"/>
          <w:color w:val="FF0000"/>
          <w:szCs w:val="24"/>
        </w:rPr>
        <w:t>成果</w:t>
      </w:r>
      <w:r>
        <w:rPr>
          <w:rFonts w:hint="eastAsia" w:cs="仿宋_GB2312" w:asciiTheme="minorEastAsia" w:hAnsiTheme="minorEastAsia" w:eastAsiaTheme="minorEastAsia"/>
          <w:szCs w:val="24"/>
          <w:lang w:val="en-US" w:eastAsia="zh-CN"/>
        </w:rPr>
        <w:t>；</w:t>
      </w:r>
    </w:p>
    <w:p w14:paraId="2A097213">
      <w:pPr>
        <w:pageBreakBefore w:val="0"/>
        <w:widowControl w:val="0"/>
        <w:kinsoku/>
        <w:wordWrap/>
        <w:overflowPunct/>
        <w:topLinePunct w:val="0"/>
        <w:autoSpaceDE/>
        <w:autoSpaceDN/>
        <w:bidi w:val="0"/>
        <w:adjustRightInd/>
        <w:snapToGrid/>
        <w:spacing w:line="540" w:lineRule="exact"/>
        <w:ind w:left="0" w:firstLine="480" w:firstLineChars="200"/>
        <w:jc w:val="both"/>
        <w:textAlignment w:val="auto"/>
        <w:rPr>
          <w:rFonts w:hint="eastAsia" w:cs="仿宋_GB2312" w:asciiTheme="minorEastAsia" w:hAnsiTheme="minorEastAsia" w:eastAsiaTheme="minorEastAsia"/>
          <w:szCs w:val="24"/>
          <w:lang w:val="en-US" w:eastAsia="zh-CN"/>
        </w:rPr>
      </w:pPr>
      <w:r>
        <w:rPr>
          <w:rFonts w:hint="eastAsia" w:cs="仿宋_GB2312" w:asciiTheme="minorEastAsia" w:hAnsiTheme="minorEastAsia" w:eastAsiaTheme="minorEastAsia"/>
          <w:szCs w:val="24"/>
          <w:lang w:val="en-US" w:eastAsia="zh-CN"/>
        </w:rPr>
        <w:t>6.4勘察人应在</w:t>
      </w:r>
      <w:r>
        <w:rPr>
          <w:rFonts w:hint="eastAsia" w:cs="仿宋_GB2312" w:asciiTheme="minorEastAsia" w:hAnsiTheme="minorEastAsia" w:eastAsiaTheme="minorEastAsia"/>
          <w:color w:val="FF0000"/>
          <w:szCs w:val="24"/>
          <w:highlight w:val="none"/>
          <w:lang w:val="en-US" w:eastAsia="zh-CN"/>
        </w:rPr>
        <w:t>主体设计单位提交设计条件后10日历天内</w:t>
      </w:r>
      <w:r>
        <w:rPr>
          <w:rFonts w:hint="eastAsia" w:cs="仿宋_GB2312" w:asciiTheme="minorEastAsia" w:hAnsiTheme="minorEastAsia" w:eastAsiaTheme="minorEastAsia"/>
          <w:szCs w:val="24"/>
          <w:lang w:val="en-US" w:eastAsia="zh-CN"/>
        </w:rPr>
        <w:t>提交基坑支护及施工降水施工图设计；</w:t>
      </w:r>
    </w:p>
    <w:p w14:paraId="39F1717C">
      <w:pPr>
        <w:pageBreakBefore w:val="0"/>
        <w:widowControl w:val="0"/>
        <w:kinsoku/>
        <w:wordWrap/>
        <w:overflowPunct/>
        <w:topLinePunct w:val="0"/>
        <w:autoSpaceDE/>
        <w:autoSpaceDN/>
        <w:bidi w:val="0"/>
        <w:adjustRightInd/>
        <w:snapToGrid/>
        <w:spacing w:line="540" w:lineRule="exact"/>
        <w:ind w:left="0" w:firstLine="480" w:firstLineChars="200"/>
        <w:jc w:val="both"/>
        <w:textAlignment w:val="auto"/>
        <w:rPr>
          <w:rFonts w:cs="仿宋_GB2312" w:asciiTheme="minorEastAsia" w:hAnsiTheme="minorEastAsia" w:eastAsiaTheme="minorEastAsia"/>
          <w:szCs w:val="24"/>
        </w:rPr>
      </w:pPr>
      <w:r>
        <w:rPr>
          <w:rFonts w:hint="eastAsia" w:cs="仿宋_GB2312" w:asciiTheme="minorEastAsia" w:hAnsiTheme="minorEastAsia" w:eastAsiaTheme="minorEastAsia"/>
          <w:szCs w:val="24"/>
          <w:lang w:val="en-US" w:eastAsia="zh-CN"/>
        </w:rPr>
        <w:t>6.5</w:t>
      </w:r>
      <w:r>
        <w:rPr>
          <w:rFonts w:hint="eastAsia" w:cs="仿宋_GB2312" w:asciiTheme="minorEastAsia" w:hAnsiTheme="minorEastAsia" w:eastAsiaTheme="minorEastAsia"/>
          <w:szCs w:val="24"/>
        </w:rPr>
        <w:t>确定中标人后</w:t>
      </w:r>
      <w:r>
        <w:rPr>
          <w:rFonts w:hint="eastAsia" w:cs="仿宋_GB2312" w:asciiTheme="minorEastAsia" w:hAnsiTheme="minorEastAsia" w:eastAsiaTheme="minorEastAsia"/>
          <w:color w:val="FF0000"/>
          <w:szCs w:val="24"/>
          <w:lang w:val="en-US" w:eastAsia="zh-CN"/>
        </w:rPr>
        <w:t>20</w:t>
      </w:r>
      <w:r>
        <w:rPr>
          <w:rFonts w:hint="eastAsia" w:cs="仿宋_GB2312" w:asciiTheme="minorEastAsia" w:hAnsiTheme="minorEastAsia" w:eastAsiaTheme="minorEastAsia"/>
          <w:color w:val="FF0000"/>
          <w:szCs w:val="24"/>
        </w:rPr>
        <w:t>日历天内提交</w:t>
      </w:r>
      <w:r>
        <w:rPr>
          <w:rFonts w:hint="eastAsia" w:cs="仿宋_GB2312" w:asciiTheme="minorEastAsia" w:hAnsiTheme="minorEastAsia" w:eastAsiaTheme="minorEastAsia"/>
          <w:color w:val="FF0000"/>
          <w:szCs w:val="24"/>
          <w:lang w:val="en-US" w:eastAsia="zh-CN"/>
        </w:rPr>
        <w:t>土壤氡检测报告</w:t>
      </w:r>
      <w:r>
        <w:rPr>
          <w:rFonts w:hint="eastAsia" w:cs="仿宋_GB2312" w:asciiTheme="minorEastAsia" w:hAnsiTheme="minorEastAsia" w:eastAsiaTheme="minorEastAsia"/>
          <w:szCs w:val="24"/>
        </w:rPr>
        <w:t>。</w:t>
      </w:r>
    </w:p>
    <w:p w14:paraId="1CAE44DB">
      <w:pPr>
        <w:pStyle w:val="2"/>
        <w:pageBreakBefore w:val="0"/>
        <w:numPr>
          <w:ilvl w:val="0"/>
          <w:numId w:val="0"/>
        </w:numPr>
        <w:kinsoku/>
        <w:wordWrap/>
        <w:overflowPunct/>
        <w:topLinePunct w:val="0"/>
        <w:autoSpaceDE/>
        <w:autoSpaceDN/>
        <w:bidi w:val="0"/>
        <w:snapToGrid/>
        <w:spacing w:before="0" w:after="0" w:line="540" w:lineRule="exact"/>
        <w:ind w:firstLine="482" w:firstLineChars="200"/>
        <w:textAlignment w:val="auto"/>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七、其他</w:t>
      </w:r>
      <w:bookmarkEnd w:id="13"/>
      <w:bookmarkEnd w:id="14"/>
    </w:p>
    <w:p w14:paraId="742A615C">
      <w:pPr>
        <w:pStyle w:val="6"/>
        <w:pageBreakBefore w:val="0"/>
        <w:kinsoku/>
        <w:wordWrap/>
        <w:overflowPunct/>
        <w:topLinePunct w:val="0"/>
        <w:autoSpaceDE/>
        <w:autoSpaceDN/>
        <w:bidi w:val="0"/>
        <w:snapToGrid/>
        <w:spacing w:before="0" w:after="0" w:line="540" w:lineRule="exact"/>
        <w:ind w:firstLine="480"/>
        <w:textAlignment w:val="auto"/>
        <w:rPr>
          <w:rFonts w:cs="仿宋_GB2312" w:asciiTheme="minorEastAsia" w:hAnsiTheme="minorEastAsia" w:eastAsiaTheme="minorEastAsia"/>
          <w:color w:val="auto"/>
          <w:szCs w:val="24"/>
        </w:rPr>
      </w:pPr>
      <w:bookmarkStart w:id="15" w:name="_Hlk64628553"/>
      <w:r>
        <w:rPr>
          <w:rFonts w:hint="eastAsia" w:cs="仿宋_GB2312" w:asciiTheme="minorEastAsia" w:hAnsiTheme="minorEastAsia" w:eastAsiaTheme="minorEastAsia"/>
          <w:color w:val="auto"/>
          <w:szCs w:val="24"/>
        </w:rPr>
        <w:t>7.1投标技</w:t>
      </w:r>
      <w:bookmarkEnd w:id="15"/>
      <w:r>
        <w:rPr>
          <w:rFonts w:hint="eastAsia" w:cs="仿宋_GB2312" w:asciiTheme="minorEastAsia" w:hAnsiTheme="minorEastAsia" w:eastAsiaTheme="minorEastAsia"/>
          <w:color w:val="auto"/>
          <w:szCs w:val="24"/>
        </w:rPr>
        <w:t>术文件应结合现行相关标准规范的规定以及本项目实际需要，确定勘探点类型以及拟测试项目类别，并注明理由；</w:t>
      </w:r>
    </w:p>
    <w:p w14:paraId="68013A72">
      <w:pPr>
        <w:pageBreakBefore w:val="0"/>
        <w:kinsoku/>
        <w:wordWrap/>
        <w:overflowPunct/>
        <w:topLinePunct w:val="0"/>
        <w:autoSpaceDE/>
        <w:autoSpaceDN/>
        <w:bidi w:val="0"/>
        <w:snapToGrid/>
        <w:spacing w:line="540" w:lineRule="exact"/>
        <w:ind w:firstLine="435"/>
        <w:textAlignment w:val="auto"/>
        <w:rPr>
          <w:rFonts w:cs="仿宋_GB2312" w:asciiTheme="minorEastAsia" w:hAnsiTheme="minorEastAsia" w:eastAsiaTheme="minorEastAsia"/>
          <w:color w:val="auto"/>
          <w:szCs w:val="24"/>
        </w:rPr>
      </w:pPr>
      <w:r>
        <w:rPr>
          <w:rFonts w:hint="eastAsia" w:cs="仿宋_GB2312" w:asciiTheme="minorEastAsia" w:hAnsiTheme="minorEastAsia" w:eastAsiaTheme="minorEastAsia"/>
          <w:color w:val="auto"/>
          <w:szCs w:val="24"/>
        </w:rPr>
        <w:t>7.2投标技术文件中主要勘察（试验）方法以及勘察（试验）设备的配置应具有针对性和实际指导价值。</w:t>
      </w:r>
    </w:p>
    <w:p w14:paraId="52938A8B">
      <w:pPr>
        <w:pageBreakBefore w:val="0"/>
        <w:kinsoku/>
        <w:wordWrap/>
        <w:overflowPunct/>
        <w:topLinePunct w:val="0"/>
        <w:autoSpaceDE/>
        <w:autoSpaceDN/>
        <w:bidi w:val="0"/>
        <w:snapToGrid/>
        <w:spacing w:line="540" w:lineRule="exact"/>
        <w:ind w:firstLine="435"/>
        <w:textAlignment w:val="auto"/>
        <w:rPr>
          <w:rFonts w:cs="仿宋_GB2312" w:asciiTheme="minorEastAsia" w:hAnsiTheme="minorEastAsia" w:eastAsiaTheme="minorEastAsia"/>
          <w:color w:val="auto"/>
          <w:szCs w:val="24"/>
        </w:rPr>
      </w:pPr>
      <w:r>
        <w:rPr>
          <w:rFonts w:hint="eastAsia" w:cs="仿宋_GB2312" w:asciiTheme="minorEastAsia" w:hAnsiTheme="minorEastAsia" w:eastAsiaTheme="minorEastAsia"/>
          <w:color w:val="auto"/>
          <w:szCs w:val="24"/>
        </w:rPr>
        <w:t>7.3本任务书未尽事宜，遵照国家、行业及地方现行相关标准规范的相关规定。</w:t>
      </w:r>
    </w:p>
    <w:p w14:paraId="4DE00B57">
      <w:pPr>
        <w:pStyle w:val="4"/>
        <w:pageBreakBefore w:val="0"/>
        <w:kinsoku/>
        <w:wordWrap/>
        <w:overflowPunct/>
        <w:topLinePunct w:val="0"/>
        <w:autoSpaceDE/>
        <w:autoSpaceDN/>
        <w:bidi w:val="0"/>
        <w:snapToGrid/>
        <w:spacing w:line="540" w:lineRule="exact"/>
        <w:textAlignment w:val="auto"/>
        <w:rPr>
          <w:rFonts w:hint="default" w:cs="仿宋_GB2312" w:asciiTheme="minorEastAsia" w:hAnsiTheme="minorEastAsia" w:eastAsiaTheme="minorEastAsia"/>
          <w:color w:val="auto"/>
          <w:szCs w:val="24"/>
          <w:lang w:val="en-US" w:eastAsia="zh-CN"/>
        </w:rPr>
        <w:sectPr>
          <w:footerReference r:id="rId9" w:type="first"/>
          <w:footerReference r:id="rId8" w:type="default"/>
          <w:pgSz w:w="11906" w:h="16838"/>
          <w:pgMar w:top="1440" w:right="1800" w:bottom="1440" w:left="1800" w:header="851" w:footer="992" w:gutter="0"/>
          <w:pgNumType w:fmt="decimal" w:start="1"/>
          <w:cols w:space="425" w:num="1"/>
          <w:titlePg/>
          <w:docGrid w:type="lines" w:linePitch="312" w:charSpace="0"/>
        </w:sectPr>
      </w:pPr>
      <w:r>
        <w:rPr>
          <w:rFonts w:hint="eastAsia" w:cs="仿宋_GB2312" w:asciiTheme="minorEastAsia" w:hAnsiTheme="minorEastAsia" w:eastAsiaTheme="minorEastAsia"/>
          <w:color w:val="auto"/>
          <w:szCs w:val="24"/>
          <w:lang w:val="en-US" w:eastAsia="zh-CN"/>
        </w:rPr>
        <w:t>7.</w:t>
      </w:r>
      <w:r>
        <w:rPr>
          <w:rFonts w:hint="eastAsia" w:cs="仿宋_GB2312" w:asciiTheme="minorEastAsia" w:hAnsiTheme="minorEastAsia" w:eastAsiaTheme="minorEastAsia"/>
          <w:color w:val="auto"/>
          <w:szCs w:val="24"/>
          <w:highlight w:val="none"/>
          <w:lang w:val="en-US" w:eastAsia="zh-CN"/>
        </w:rPr>
        <w:t>4 勘察人负责对地块进行管线摸排工作，包含但不限于及时与产权单位对接、现场调查、必要时与设计单位配合调查，并根据发包人要求提交管线排查成果。后续配合管线迁改设计单位开展相关工作。投标人投标报价时要将管线排查事项相关费用考虑在内，管线排查相关费用不再单独报价（发包人不单独计量和支付）。</w:t>
      </w:r>
    </w:p>
    <w:p w14:paraId="3A296F8C">
      <w:pPr>
        <w:pageBreakBefore w:val="0"/>
        <w:kinsoku/>
        <w:wordWrap/>
        <w:overflowPunct/>
        <w:bidi w:val="0"/>
        <w:snapToGrid/>
        <w:spacing w:line="540" w:lineRule="exact"/>
        <w:textAlignment w:val="auto"/>
        <w:rPr>
          <w:rFonts w:hint="eastAsia"/>
          <w:lang w:val="en-US" w:eastAsia="zh-CN"/>
        </w:rPr>
      </w:pPr>
    </w:p>
    <w:sectPr>
      <w:footerReference r:id="rId11" w:type="first"/>
      <w:footerReference r:id="rId10" w:type="default"/>
      <w:pgSz w:w="11906" w:h="16838"/>
      <w:pgMar w:top="1440" w:right="1800" w:bottom="1440" w:left="1800" w:header="851" w:footer="992" w:gutter="0"/>
      <w:pgNumType w:fmt="decimal"/>
      <w:cols w:space="425"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E37A2">
    <w:pPr>
      <w:pStyle w:val="10"/>
      <w:jc w:val="right"/>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47B805">
                          <w:pPr>
                            <w:pStyle w:val="10"/>
                          </w:pPr>
                          <w:r>
                            <w:t xml:space="preserve">第 </w:t>
                          </w:r>
                          <w:r>
                            <w:fldChar w:fldCharType="begin"/>
                          </w:r>
                          <w:r>
                            <w:instrText xml:space="preserve"> PAGE  \* MERGEFORMAT </w:instrText>
                          </w:r>
                          <w:r>
                            <w:fldChar w:fldCharType="separate"/>
                          </w:r>
                          <w:r>
                            <w:t>0</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647B805">
                    <w:pPr>
                      <w:pStyle w:val="10"/>
                    </w:pPr>
                    <w:r>
                      <w:t xml:space="preserve">第 </w:t>
                    </w:r>
                    <w:r>
                      <w:fldChar w:fldCharType="begin"/>
                    </w:r>
                    <w:r>
                      <w:instrText xml:space="preserve"> PAGE  \* MERGEFORMAT </w:instrText>
                    </w:r>
                    <w:r>
                      <w:fldChar w:fldCharType="separate"/>
                    </w:r>
                    <w:r>
                      <w:t>0</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v:textbox>
            </v:shape>
          </w:pict>
        </mc:Fallback>
      </mc:AlternateContent>
    </w:r>
  </w:p>
  <w:p w14:paraId="5A21479E">
    <w:pPr>
      <w:pStyle w:val="10"/>
      <w:ind w:firstLine="8010" w:firstLineChars="445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6DD96">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EC94B7">
                          <w:pPr>
                            <w:pStyle w:val="10"/>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DEC94B7">
                    <w:pPr>
                      <w:pStyle w:val="10"/>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E7848">
    <w:pPr>
      <w:pStyle w:val="10"/>
      <w:jc w:val="right"/>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B0D094">
                          <w:pPr>
                            <w:pStyle w:val="10"/>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11</w:t>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3B0D094">
                    <w:pPr>
                      <w:pStyle w:val="10"/>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11</w:t>
                    </w:r>
                    <w:r>
                      <w:t>页</w:t>
                    </w:r>
                  </w:p>
                </w:txbxContent>
              </v:textbox>
            </v:shape>
          </w:pict>
        </mc:Fallback>
      </mc:AlternateContent>
    </w:r>
  </w:p>
  <w:p w14:paraId="386F5BD7">
    <w:pPr>
      <w:pStyle w:val="10"/>
      <w:ind w:firstLine="8010" w:firstLineChars="445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56293A">
    <w:pPr>
      <w:pStyle w:val="10"/>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0B9E03">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60B9E03">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DCDA53">
    <w:pPr>
      <w:pStyle w:val="10"/>
      <w:jc w:val="right"/>
    </w:pPr>
  </w:p>
  <w:p w14:paraId="64F1BA6A">
    <w:pPr>
      <w:pStyle w:val="10"/>
      <w:ind w:firstLine="8010" w:firstLineChars="445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F4D3C">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0D29A0">
    <w:pPr>
      <w:topLinePunct/>
      <w:autoSpaceDE w:val="0"/>
      <w:autoSpaceDN w:val="0"/>
      <w:adjustRightInd w:val="0"/>
      <w:jc w:val="right"/>
      <w:rPr>
        <w:rFonts w:ascii="宋体" w:eastAsia="宋体" w:cs="宋体"/>
        <w:kern w:val="0"/>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780093"/>
    <w:multiLevelType w:val="singleLevel"/>
    <w:tmpl w:val="B2780093"/>
    <w:lvl w:ilvl="0" w:tentative="0">
      <w:start w:val="1"/>
      <w:numFmt w:val="decimal"/>
      <w:lvlText w:val="(%1)"/>
      <w:lvlJc w:val="left"/>
      <w:pPr>
        <w:ind w:left="425" w:hanging="425"/>
      </w:pPr>
      <w:rPr>
        <w:rFonts w:hint="default"/>
      </w:rPr>
    </w:lvl>
  </w:abstractNum>
  <w:abstractNum w:abstractNumId="1">
    <w:nsid w:val="B9BA2D52"/>
    <w:multiLevelType w:val="multilevel"/>
    <w:tmpl w:val="B9BA2D52"/>
    <w:lvl w:ilvl="0" w:tentative="0">
      <w:start w:val="1"/>
      <w:numFmt w:val="decimal"/>
      <w:pStyle w:val="2"/>
      <w:lvlText w:val="%1."/>
      <w:lvlJc w:val="left"/>
      <w:pPr>
        <w:ind w:left="552" w:hanging="420"/>
      </w:pPr>
      <w:rPr>
        <w:rFonts w:hint="default" w:ascii="宋体" w:hAnsi="宋体" w:eastAsia="宋体" w:cs="宋体"/>
        <w:w w:val="100"/>
        <w:sz w:val="24"/>
        <w:szCs w:val="24"/>
        <w:lang w:val="zh-CN" w:eastAsia="zh-CN" w:bidi="zh-CN"/>
      </w:rPr>
    </w:lvl>
    <w:lvl w:ilvl="1" w:tentative="0">
      <w:start w:val="0"/>
      <w:numFmt w:val="bullet"/>
      <w:lvlText w:val="•"/>
      <w:lvlJc w:val="left"/>
      <w:pPr>
        <w:ind w:left="1349" w:hanging="420"/>
      </w:pPr>
      <w:rPr>
        <w:rFonts w:hint="default"/>
        <w:lang w:val="zh-CN" w:eastAsia="zh-CN" w:bidi="zh-CN"/>
      </w:rPr>
    </w:lvl>
    <w:lvl w:ilvl="2" w:tentative="0">
      <w:start w:val="0"/>
      <w:numFmt w:val="bullet"/>
      <w:lvlText w:val="•"/>
      <w:lvlJc w:val="left"/>
      <w:pPr>
        <w:ind w:left="2138" w:hanging="420"/>
      </w:pPr>
      <w:rPr>
        <w:rFonts w:hint="default"/>
        <w:lang w:val="zh-CN" w:eastAsia="zh-CN" w:bidi="zh-CN"/>
      </w:rPr>
    </w:lvl>
    <w:lvl w:ilvl="3" w:tentative="0">
      <w:start w:val="0"/>
      <w:numFmt w:val="bullet"/>
      <w:lvlText w:val="•"/>
      <w:lvlJc w:val="left"/>
      <w:pPr>
        <w:ind w:left="2927" w:hanging="420"/>
      </w:pPr>
      <w:rPr>
        <w:rFonts w:hint="default"/>
        <w:lang w:val="zh-CN" w:eastAsia="zh-CN" w:bidi="zh-CN"/>
      </w:rPr>
    </w:lvl>
    <w:lvl w:ilvl="4" w:tentative="0">
      <w:start w:val="0"/>
      <w:numFmt w:val="bullet"/>
      <w:lvlText w:val="•"/>
      <w:lvlJc w:val="left"/>
      <w:pPr>
        <w:ind w:left="3716" w:hanging="420"/>
      </w:pPr>
      <w:rPr>
        <w:rFonts w:hint="default"/>
        <w:lang w:val="zh-CN" w:eastAsia="zh-CN" w:bidi="zh-CN"/>
      </w:rPr>
    </w:lvl>
    <w:lvl w:ilvl="5" w:tentative="0">
      <w:start w:val="0"/>
      <w:numFmt w:val="bullet"/>
      <w:lvlText w:val="•"/>
      <w:lvlJc w:val="left"/>
      <w:pPr>
        <w:ind w:left="4505" w:hanging="420"/>
      </w:pPr>
      <w:rPr>
        <w:rFonts w:hint="default"/>
        <w:lang w:val="zh-CN" w:eastAsia="zh-CN" w:bidi="zh-CN"/>
      </w:rPr>
    </w:lvl>
    <w:lvl w:ilvl="6" w:tentative="0">
      <w:start w:val="0"/>
      <w:numFmt w:val="bullet"/>
      <w:lvlText w:val="•"/>
      <w:lvlJc w:val="left"/>
      <w:pPr>
        <w:ind w:left="5294" w:hanging="420"/>
      </w:pPr>
      <w:rPr>
        <w:rFonts w:hint="default"/>
        <w:lang w:val="zh-CN" w:eastAsia="zh-CN" w:bidi="zh-CN"/>
      </w:rPr>
    </w:lvl>
    <w:lvl w:ilvl="7" w:tentative="0">
      <w:start w:val="0"/>
      <w:numFmt w:val="bullet"/>
      <w:lvlText w:val="•"/>
      <w:lvlJc w:val="left"/>
      <w:pPr>
        <w:ind w:left="6083" w:hanging="420"/>
      </w:pPr>
      <w:rPr>
        <w:rFonts w:hint="default"/>
        <w:lang w:val="zh-CN" w:eastAsia="zh-CN" w:bidi="zh-CN"/>
      </w:rPr>
    </w:lvl>
    <w:lvl w:ilvl="8" w:tentative="0">
      <w:start w:val="0"/>
      <w:numFmt w:val="bullet"/>
      <w:lvlText w:val="•"/>
      <w:lvlJc w:val="left"/>
      <w:pPr>
        <w:ind w:left="6872" w:hanging="420"/>
      </w:pPr>
      <w:rPr>
        <w:rFonts w:hint="default"/>
        <w:lang w:val="zh-CN" w:eastAsia="zh-CN" w:bidi="zh-CN"/>
      </w:rPr>
    </w:lvl>
  </w:abstractNum>
  <w:abstractNum w:abstractNumId="2">
    <w:nsid w:val="CFE38ED9"/>
    <w:multiLevelType w:val="singleLevel"/>
    <w:tmpl w:val="CFE38ED9"/>
    <w:lvl w:ilvl="0" w:tentative="0">
      <w:start w:val="1"/>
      <w:numFmt w:val="decimal"/>
      <w:lvlText w:val="(%1)"/>
      <w:lvlJc w:val="left"/>
      <w:pPr>
        <w:ind w:left="845" w:hanging="425"/>
      </w:pPr>
      <w:rPr>
        <w:rFonts w:hint="default"/>
      </w:rPr>
    </w:lvl>
  </w:abstractNum>
  <w:abstractNum w:abstractNumId="3">
    <w:nsid w:val="0CCFDB4B"/>
    <w:multiLevelType w:val="singleLevel"/>
    <w:tmpl w:val="0CCFDB4B"/>
    <w:lvl w:ilvl="0" w:tentative="0">
      <w:start w:val="1"/>
      <w:numFmt w:val="decimal"/>
      <w:lvlText w:val="(%1)"/>
      <w:lvlJc w:val="left"/>
      <w:pPr>
        <w:ind w:left="425" w:hanging="425"/>
      </w:pPr>
      <w:rPr>
        <w:rFonts w:hint="default"/>
      </w:rPr>
    </w:lvl>
  </w:abstractNum>
  <w:abstractNum w:abstractNumId="4">
    <w:nsid w:val="20A07A78"/>
    <w:multiLevelType w:val="singleLevel"/>
    <w:tmpl w:val="20A07A78"/>
    <w:lvl w:ilvl="0" w:tentative="0">
      <w:start w:val="6"/>
      <w:numFmt w:val="chineseCounting"/>
      <w:suff w:val="nothing"/>
      <w:lvlText w:val="%1、"/>
      <w:lvlJc w:val="left"/>
      <w:rPr>
        <w:rFonts w:hint="eastAsia"/>
      </w:rPr>
    </w:lvl>
  </w:abstractNum>
  <w:abstractNum w:abstractNumId="5">
    <w:nsid w:val="7FD1F030"/>
    <w:multiLevelType w:val="singleLevel"/>
    <w:tmpl w:val="7FD1F030"/>
    <w:lvl w:ilvl="0" w:tentative="0">
      <w:start w:val="1"/>
      <w:numFmt w:val="decimal"/>
      <w:lvlText w:val="(%1)"/>
      <w:lvlJc w:val="left"/>
      <w:pPr>
        <w:ind w:left="425" w:hanging="425"/>
      </w:pPr>
      <w:rPr>
        <w:rFonts w:hint="default"/>
      </w:rPr>
    </w:lvl>
  </w:abstractNum>
  <w:num w:numId="1">
    <w:abstractNumId w:val="1"/>
  </w:num>
  <w:num w:numId="2">
    <w:abstractNumId w:val="3"/>
  </w:num>
  <w:num w:numId="3">
    <w:abstractNumId w:val="0"/>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U1MzY2YTgzYmZmZWRhNWJjZjFkOTE2YjE0NmJkNjIifQ=="/>
  </w:docVars>
  <w:rsids>
    <w:rsidRoot w:val="006B749F"/>
    <w:rsid w:val="00000554"/>
    <w:rsid w:val="000020C1"/>
    <w:rsid w:val="00004CD9"/>
    <w:rsid w:val="000052ED"/>
    <w:rsid w:val="00005EB2"/>
    <w:rsid w:val="000101BD"/>
    <w:rsid w:val="00010A9C"/>
    <w:rsid w:val="00010D07"/>
    <w:rsid w:val="0001191A"/>
    <w:rsid w:val="00012C24"/>
    <w:rsid w:val="00013208"/>
    <w:rsid w:val="00016B82"/>
    <w:rsid w:val="00020E25"/>
    <w:rsid w:val="000233A7"/>
    <w:rsid w:val="00023539"/>
    <w:rsid w:val="00026479"/>
    <w:rsid w:val="000264F4"/>
    <w:rsid w:val="0002713D"/>
    <w:rsid w:val="00030DF3"/>
    <w:rsid w:val="00031065"/>
    <w:rsid w:val="00031C37"/>
    <w:rsid w:val="00031D68"/>
    <w:rsid w:val="0003784B"/>
    <w:rsid w:val="00037EA0"/>
    <w:rsid w:val="000431F3"/>
    <w:rsid w:val="00043C87"/>
    <w:rsid w:val="00044F31"/>
    <w:rsid w:val="0004505D"/>
    <w:rsid w:val="000457BD"/>
    <w:rsid w:val="00045FAB"/>
    <w:rsid w:val="000529F3"/>
    <w:rsid w:val="00052F4A"/>
    <w:rsid w:val="00055622"/>
    <w:rsid w:val="00056892"/>
    <w:rsid w:val="00056B72"/>
    <w:rsid w:val="00060235"/>
    <w:rsid w:val="00061BD7"/>
    <w:rsid w:val="00062164"/>
    <w:rsid w:val="00062DEF"/>
    <w:rsid w:val="0006349D"/>
    <w:rsid w:val="000644EB"/>
    <w:rsid w:val="00064A86"/>
    <w:rsid w:val="0006534D"/>
    <w:rsid w:val="00065DE2"/>
    <w:rsid w:val="00071074"/>
    <w:rsid w:val="00071665"/>
    <w:rsid w:val="000728BF"/>
    <w:rsid w:val="000756A3"/>
    <w:rsid w:val="00080C20"/>
    <w:rsid w:val="000811DF"/>
    <w:rsid w:val="00081D9C"/>
    <w:rsid w:val="000827EF"/>
    <w:rsid w:val="000837F4"/>
    <w:rsid w:val="0008602D"/>
    <w:rsid w:val="00086936"/>
    <w:rsid w:val="00086C67"/>
    <w:rsid w:val="00091846"/>
    <w:rsid w:val="00091C82"/>
    <w:rsid w:val="00092F59"/>
    <w:rsid w:val="00093929"/>
    <w:rsid w:val="00093EEC"/>
    <w:rsid w:val="000943FB"/>
    <w:rsid w:val="00094424"/>
    <w:rsid w:val="000949DD"/>
    <w:rsid w:val="00095BE8"/>
    <w:rsid w:val="0009666A"/>
    <w:rsid w:val="000973C7"/>
    <w:rsid w:val="000A1575"/>
    <w:rsid w:val="000A3DE3"/>
    <w:rsid w:val="000A511E"/>
    <w:rsid w:val="000A5181"/>
    <w:rsid w:val="000A5619"/>
    <w:rsid w:val="000A720F"/>
    <w:rsid w:val="000A771F"/>
    <w:rsid w:val="000A7BA7"/>
    <w:rsid w:val="000B4935"/>
    <w:rsid w:val="000B4BD6"/>
    <w:rsid w:val="000B5599"/>
    <w:rsid w:val="000B5820"/>
    <w:rsid w:val="000B6581"/>
    <w:rsid w:val="000C0003"/>
    <w:rsid w:val="000C2726"/>
    <w:rsid w:val="000C27E4"/>
    <w:rsid w:val="000C3A34"/>
    <w:rsid w:val="000C5D35"/>
    <w:rsid w:val="000D2F7E"/>
    <w:rsid w:val="000D3436"/>
    <w:rsid w:val="000D3619"/>
    <w:rsid w:val="000D471E"/>
    <w:rsid w:val="000D7A43"/>
    <w:rsid w:val="000D7C1B"/>
    <w:rsid w:val="000D7D55"/>
    <w:rsid w:val="000D7FE1"/>
    <w:rsid w:val="000E1CE5"/>
    <w:rsid w:val="000E1DFE"/>
    <w:rsid w:val="000E289A"/>
    <w:rsid w:val="000E2CF8"/>
    <w:rsid w:val="000E4EA1"/>
    <w:rsid w:val="000E56F9"/>
    <w:rsid w:val="000E697D"/>
    <w:rsid w:val="000E7186"/>
    <w:rsid w:val="000E7BE4"/>
    <w:rsid w:val="000F09F1"/>
    <w:rsid w:val="000F1FE0"/>
    <w:rsid w:val="000F31CF"/>
    <w:rsid w:val="000F6984"/>
    <w:rsid w:val="000F7231"/>
    <w:rsid w:val="000F73FC"/>
    <w:rsid w:val="000F7956"/>
    <w:rsid w:val="00101D7D"/>
    <w:rsid w:val="00101D8D"/>
    <w:rsid w:val="001027CE"/>
    <w:rsid w:val="00103796"/>
    <w:rsid w:val="00105B9C"/>
    <w:rsid w:val="001068DD"/>
    <w:rsid w:val="00107BAD"/>
    <w:rsid w:val="00111A78"/>
    <w:rsid w:val="001121C1"/>
    <w:rsid w:val="001138FC"/>
    <w:rsid w:val="00113D6C"/>
    <w:rsid w:val="00115216"/>
    <w:rsid w:val="00115CCE"/>
    <w:rsid w:val="00115FBB"/>
    <w:rsid w:val="001168E9"/>
    <w:rsid w:val="00116CC1"/>
    <w:rsid w:val="00116DF9"/>
    <w:rsid w:val="00121B99"/>
    <w:rsid w:val="00122845"/>
    <w:rsid w:val="00122E6C"/>
    <w:rsid w:val="00127DEC"/>
    <w:rsid w:val="00130301"/>
    <w:rsid w:val="00137038"/>
    <w:rsid w:val="00140A73"/>
    <w:rsid w:val="00140AF7"/>
    <w:rsid w:val="0014264D"/>
    <w:rsid w:val="001437D5"/>
    <w:rsid w:val="00147494"/>
    <w:rsid w:val="00151049"/>
    <w:rsid w:val="00153218"/>
    <w:rsid w:val="00154E52"/>
    <w:rsid w:val="0015527A"/>
    <w:rsid w:val="0015543C"/>
    <w:rsid w:val="00157048"/>
    <w:rsid w:val="00160DF8"/>
    <w:rsid w:val="00161A53"/>
    <w:rsid w:val="00163C89"/>
    <w:rsid w:val="00166AFC"/>
    <w:rsid w:val="00175821"/>
    <w:rsid w:val="00175F6E"/>
    <w:rsid w:val="0017658F"/>
    <w:rsid w:val="00177E32"/>
    <w:rsid w:val="00180C11"/>
    <w:rsid w:val="00182AC0"/>
    <w:rsid w:val="00184B5A"/>
    <w:rsid w:val="001873CC"/>
    <w:rsid w:val="00187D07"/>
    <w:rsid w:val="00187F73"/>
    <w:rsid w:val="00191089"/>
    <w:rsid w:val="00191DA5"/>
    <w:rsid w:val="00195203"/>
    <w:rsid w:val="0019629D"/>
    <w:rsid w:val="001A0262"/>
    <w:rsid w:val="001A2C89"/>
    <w:rsid w:val="001A7ACB"/>
    <w:rsid w:val="001B05A2"/>
    <w:rsid w:val="001B0CCE"/>
    <w:rsid w:val="001B17EA"/>
    <w:rsid w:val="001B2B2C"/>
    <w:rsid w:val="001B38A3"/>
    <w:rsid w:val="001B44DE"/>
    <w:rsid w:val="001B624E"/>
    <w:rsid w:val="001B7051"/>
    <w:rsid w:val="001C007A"/>
    <w:rsid w:val="001C23DA"/>
    <w:rsid w:val="001C3E79"/>
    <w:rsid w:val="001C65D5"/>
    <w:rsid w:val="001C78D2"/>
    <w:rsid w:val="001D11A7"/>
    <w:rsid w:val="001D211B"/>
    <w:rsid w:val="001D32B0"/>
    <w:rsid w:val="001D527A"/>
    <w:rsid w:val="001D7FF9"/>
    <w:rsid w:val="001E0D27"/>
    <w:rsid w:val="001E33F9"/>
    <w:rsid w:val="001E5436"/>
    <w:rsid w:val="001E5A9C"/>
    <w:rsid w:val="001E754F"/>
    <w:rsid w:val="001F0DDA"/>
    <w:rsid w:val="001F4A19"/>
    <w:rsid w:val="001F5525"/>
    <w:rsid w:val="002015E1"/>
    <w:rsid w:val="00202920"/>
    <w:rsid w:val="00202BA3"/>
    <w:rsid w:val="00202F52"/>
    <w:rsid w:val="002048E0"/>
    <w:rsid w:val="00204E9B"/>
    <w:rsid w:val="00205199"/>
    <w:rsid w:val="00206139"/>
    <w:rsid w:val="00206B6F"/>
    <w:rsid w:val="00214D83"/>
    <w:rsid w:val="00216130"/>
    <w:rsid w:val="00216F55"/>
    <w:rsid w:val="002170E0"/>
    <w:rsid w:val="00220A14"/>
    <w:rsid w:val="002232BC"/>
    <w:rsid w:val="00225B87"/>
    <w:rsid w:val="00230436"/>
    <w:rsid w:val="0023135D"/>
    <w:rsid w:val="00231561"/>
    <w:rsid w:val="00231B32"/>
    <w:rsid w:val="00233349"/>
    <w:rsid w:val="00233655"/>
    <w:rsid w:val="00236FF0"/>
    <w:rsid w:val="00237E39"/>
    <w:rsid w:val="002409DA"/>
    <w:rsid w:val="00241534"/>
    <w:rsid w:val="0024157D"/>
    <w:rsid w:val="002433BF"/>
    <w:rsid w:val="00250A83"/>
    <w:rsid w:val="00250DC2"/>
    <w:rsid w:val="00251233"/>
    <w:rsid w:val="00254476"/>
    <w:rsid w:val="00256A03"/>
    <w:rsid w:val="0025752A"/>
    <w:rsid w:val="00261A2A"/>
    <w:rsid w:val="00263939"/>
    <w:rsid w:val="002653CE"/>
    <w:rsid w:val="002656DB"/>
    <w:rsid w:val="00265FD4"/>
    <w:rsid w:val="0026710A"/>
    <w:rsid w:val="002710D7"/>
    <w:rsid w:val="0027306E"/>
    <w:rsid w:val="00273B21"/>
    <w:rsid w:val="002748B1"/>
    <w:rsid w:val="00280B63"/>
    <w:rsid w:val="00281BDF"/>
    <w:rsid w:val="0028344C"/>
    <w:rsid w:val="00286A0B"/>
    <w:rsid w:val="002904F8"/>
    <w:rsid w:val="00294243"/>
    <w:rsid w:val="002962FC"/>
    <w:rsid w:val="002A0755"/>
    <w:rsid w:val="002A18B4"/>
    <w:rsid w:val="002A364F"/>
    <w:rsid w:val="002A68E7"/>
    <w:rsid w:val="002B18EB"/>
    <w:rsid w:val="002B1FA1"/>
    <w:rsid w:val="002B2B4D"/>
    <w:rsid w:val="002B35A7"/>
    <w:rsid w:val="002B46CA"/>
    <w:rsid w:val="002C3895"/>
    <w:rsid w:val="002C4361"/>
    <w:rsid w:val="002C4C8F"/>
    <w:rsid w:val="002C5B6F"/>
    <w:rsid w:val="002C6A66"/>
    <w:rsid w:val="002C6E23"/>
    <w:rsid w:val="002D00BF"/>
    <w:rsid w:val="002D15D5"/>
    <w:rsid w:val="002D19DF"/>
    <w:rsid w:val="002D6BEE"/>
    <w:rsid w:val="002D788D"/>
    <w:rsid w:val="002D7D20"/>
    <w:rsid w:val="002E088C"/>
    <w:rsid w:val="002E21F0"/>
    <w:rsid w:val="002E3782"/>
    <w:rsid w:val="002E39E3"/>
    <w:rsid w:val="002E41C0"/>
    <w:rsid w:val="002E51C7"/>
    <w:rsid w:val="002E5A85"/>
    <w:rsid w:val="002E71C9"/>
    <w:rsid w:val="002E71CF"/>
    <w:rsid w:val="002F1C90"/>
    <w:rsid w:val="002F2C08"/>
    <w:rsid w:val="002F580D"/>
    <w:rsid w:val="002F587D"/>
    <w:rsid w:val="002F621E"/>
    <w:rsid w:val="002F6366"/>
    <w:rsid w:val="00300083"/>
    <w:rsid w:val="003000F0"/>
    <w:rsid w:val="00302DAC"/>
    <w:rsid w:val="00305F52"/>
    <w:rsid w:val="00306401"/>
    <w:rsid w:val="003077B8"/>
    <w:rsid w:val="0031094D"/>
    <w:rsid w:val="00312C9A"/>
    <w:rsid w:val="00312C9B"/>
    <w:rsid w:val="003135CA"/>
    <w:rsid w:val="003144E1"/>
    <w:rsid w:val="00314816"/>
    <w:rsid w:val="003158A2"/>
    <w:rsid w:val="003163B0"/>
    <w:rsid w:val="003167DC"/>
    <w:rsid w:val="00317535"/>
    <w:rsid w:val="00317C35"/>
    <w:rsid w:val="0032170A"/>
    <w:rsid w:val="00322A9D"/>
    <w:rsid w:val="00324232"/>
    <w:rsid w:val="00326A46"/>
    <w:rsid w:val="003305D3"/>
    <w:rsid w:val="00331529"/>
    <w:rsid w:val="003315DF"/>
    <w:rsid w:val="00331C38"/>
    <w:rsid w:val="003329A5"/>
    <w:rsid w:val="003333FE"/>
    <w:rsid w:val="00335216"/>
    <w:rsid w:val="00336146"/>
    <w:rsid w:val="00340AC0"/>
    <w:rsid w:val="0034365D"/>
    <w:rsid w:val="00343AB8"/>
    <w:rsid w:val="003440E2"/>
    <w:rsid w:val="00345140"/>
    <w:rsid w:val="003452B5"/>
    <w:rsid w:val="00345486"/>
    <w:rsid w:val="00347E67"/>
    <w:rsid w:val="00347F94"/>
    <w:rsid w:val="003500BB"/>
    <w:rsid w:val="00351213"/>
    <w:rsid w:val="00351F68"/>
    <w:rsid w:val="00352AE8"/>
    <w:rsid w:val="003555F5"/>
    <w:rsid w:val="00356CEF"/>
    <w:rsid w:val="00360E29"/>
    <w:rsid w:val="00361BBD"/>
    <w:rsid w:val="00362FD8"/>
    <w:rsid w:val="003661F4"/>
    <w:rsid w:val="003670DC"/>
    <w:rsid w:val="00370A3F"/>
    <w:rsid w:val="00373688"/>
    <w:rsid w:val="0037615D"/>
    <w:rsid w:val="00376345"/>
    <w:rsid w:val="003812F2"/>
    <w:rsid w:val="00381989"/>
    <w:rsid w:val="00383569"/>
    <w:rsid w:val="00383AE4"/>
    <w:rsid w:val="0038441E"/>
    <w:rsid w:val="003851F7"/>
    <w:rsid w:val="00386E1C"/>
    <w:rsid w:val="0039009E"/>
    <w:rsid w:val="003900A3"/>
    <w:rsid w:val="00390FDE"/>
    <w:rsid w:val="003918AF"/>
    <w:rsid w:val="00394598"/>
    <w:rsid w:val="003945DE"/>
    <w:rsid w:val="00396766"/>
    <w:rsid w:val="00397025"/>
    <w:rsid w:val="00397755"/>
    <w:rsid w:val="003A1612"/>
    <w:rsid w:val="003A7F8B"/>
    <w:rsid w:val="003B161A"/>
    <w:rsid w:val="003B4BE1"/>
    <w:rsid w:val="003B6A3E"/>
    <w:rsid w:val="003C2536"/>
    <w:rsid w:val="003C25DA"/>
    <w:rsid w:val="003C265F"/>
    <w:rsid w:val="003C3C73"/>
    <w:rsid w:val="003C44E8"/>
    <w:rsid w:val="003C4ACC"/>
    <w:rsid w:val="003C532D"/>
    <w:rsid w:val="003C55C2"/>
    <w:rsid w:val="003C5A31"/>
    <w:rsid w:val="003D07C1"/>
    <w:rsid w:val="003D28F4"/>
    <w:rsid w:val="003D2C1F"/>
    <w:rsid w:val="003D5BC1"/>
    <w:rsid w:val="003D7D1B"/>
    <w:rsid w:val="003E068B"/>
    <w:rsid w:val="003E2703"/>
    <w:rsid w:val="003E3396"/>
    <w:rsid w:val="003F3821"/>
    <w:rsid w:val="003F5598"/>
    <w:rsid w:val="003F6A2B"/>
    <w:rsid w:val="004001F2"/>
    <w:rsid w:val="00403E8C"/>
    <w:rsid w:val="004078F9"/>
    <w:rsid w:val="0041169C"/>
    <w:rsid w:val="00411835"/>
    <w:rsid w:val="00412F63"/>
    <w:rsid w:val="00413BF0"/>
    <w:rsid w:val="0041412F"/>
    <w:rsid w:val="00414ACB"/>
    <w:rsid w:val="00414E70"/>
    <w:rsid w:val="004151FF"/>
    <w:rsid w:val="00416683"/>
    <w:rsid w:val="0041670E"/>
    <w:rsid w:val="00417736"/>
    <w:rsid w:val="00417C28"/>
    <w:rsid w:val="00417D5C"/>
    <w:rsid w:val="004228BC"/>
    <w:rsid w:val="0042358A"/>
    <w:rsid w:val="004240CC"/>
    <w:rsid w:val="00425F4F"/>
    <w:rsid w:val="00426743"/>
    <w:rsid w:val="004271D0"/>
    <w:rsid w:val="00427458"/>
    <w:rsid w:val="00430512"/>
    <w:rsid w:val="00435117"/>
    <w:rsid w:val="00435FBD"/>
    <w:rsid w:val="0043730F"/>
    <w:rsid w:val="0044118C"/>
    <w:rsid w:val="00441B29"/>
    <w:rsid w:val="00441D9C"/>
    <w:rsid w:val="004434F2"/>
    <w:rsid w:val="004440B5"/>
    <w:rsid w:val="00445E02"/>
    <w:rsid w:val="00445F3A"/>
    <w:rsid w:val="00446A4C"/>
    <w:rsid w:val="00447D15"/>
    <w:rsid w:val="00456817"/>
    <w:rsid w:val="0045694A"/>
    <w:rsid w:val="00457103"/>
    <w:rsid w:val="004571FC"/>
    <w:rsid w:val="00457F44"/>
    <w:rsid w:val="00460594"/>
    <w:rsid w:val="00462012"/>
    <w:rsid w:val="004629F6"/>
    <w:rsid w:val="00465344"/>
    <w:rsid w:val="004665DD"/>
    <w:rsid w:val="00467281"/>
    <w:rsid w:val="00470397"/>
    <w:rsid w:val="00471894"/>
    <w:rsid w:val="00473AB8"/>
    <w:rsid w:val="004750E9"/>
    <w:rsid w:val="004770E1"/>
    <w:rsid w:val="00483A57"/>
    <w:rsid w:val="00484AF6"/>
    <w:rsid w:val="004850C8"/>
    <w:rsid w:val="00485915"/>
    <w:rsid w:val="00485962"/>
    <w:rsid w:val="00487E06"/>
    <w:rsid w:val="00490652"/>
    <w:rsid w:val="0049079F"/>
    <w:rsid w:val="00492005"/>
    <w:rsid w:val="00493892"/>
    <w:rsid w:val="00494069"/>
    <w:rsid w:val="004944B9"/>
    <w:rsid w:val="00494A14"/>
    <w:rsid w:val="004974BA"/>
    <w:rsid w:val="004A3014"/>
    <w:rsid w:val="004A63B2"/>
    <w:rsid w:val="004A7A16"/>
    <w:rsid w:val="004B2084"/>
    <w:rsid w:val="004B2E6F"/>
    <w:rsid w:val="004B7212"/>
    <w:rsid w:val="004B7C6C"/>
    <w:rsid w:val="004C1370"/>
    <w:rsid w:val="004C32E6"/>
    <w:rsid w:val="004C34A2"/>
    <w:rsid w:val="004C47A2"/>
    <w:rsid w:val="004C4C4C"/>
    <w:rsid w:val="004C4EA6"/>
    <w:rsid w:val="004C6CF3"/>
    <w:rsid w:val="004C7034"/>
    <w:rsid w:val="004C711C"/>
    <w:rsid w:val="004C7C6A"/>
    <w:rsid w:val="004D1F37"/>
    <w:rsid w:val="004D4E60"/>
    <w:rsid w:val="004D7D48"/>
    <w:rsid w:val="004E334E"/>
    <w:rsid w:val="004E5F02"/>
    <w:rsid w:val="004E77FD"/>
    <w:rsid w:val="004F0F04"/>
    <w:rsid w:val="004F11E0"/>
    <w:rsid w:val="0050245F"/>
    <w:rsid w:val="00502E0E"/>
    <w:rsid w:val="00503476"/>
    <w:rsid w:val="00504C25"/>
    <w:rsid w:val="005059C5"/>
    <w:rsid w:val="00506039"/>
    <w:rsid w:val="00507F62"/>
    <w:rsid w:val="0051110C"/>
    <w:rsid w:val="0051122A"/>
    <w:rsid w:val="00511D44"/>
    <w:rsid w:val="00513FA9"/>
    <w:rsid w:val="00513FB7"/>
    <w:rsid w:val="005148F4"/>
    <w:rsid w:val="0051541B"/>
    <w:rsid w:val="00515CAE"/>
    <w:rsid w:val="00517540"/>
    <w:rsid w:val="0051798C"/>
    <w:rsid w:val="0052012B"/>
    <w:rsid w:val="0052139B"/>
    <w:rsid w:val="00521859"/>
    <w:rsid w:val="005320FB"/>
    <w:rsid w:val="005346CA"/>
    <w:rsid w:val="00534DDB"/>
    <w:rsid w:val="00535162"/>
    <w:rsid w:val="00535C0C"/>
    <w:rsid w:val="00541769"/>
    <w:rsid w:val="0054226E"/>
    <w:rsid w:val="005428FD"/>
    <w:rsid w:val="005503E3"/>
    <w:rsid w:val="00551173"/>
    <w:rsid w:val="0055639D"/>
    <w:rsid w:val="00556581"/>
    <w:rsid w:val="005566E4"/>
    <w:rsid w:val="00556D25"/>
    <w:rsid w:val="0056001E"/>
    <w:rsid w:val="00560160"/>
    <w:rsid w:val="0056229D"/>
    <w:rsid w:val="00562792"/>
    <w:rsid w:val="00566407"/>
    <w:rsid w:val="0056722A"/>
    <w:rsid w:val="00570681"/>
    <w:rsid w:val="00573ED7"/>
    <w:rsid w:val="00576984"/>
    <w:rsid w:val="00577B01"/>
    <w:rsid w:val="00582C71"/>
    <w:rsid w:val="0058787F"/>
    <w:rsid w:val="005905AC"/>
    <w:rsid w:val="00593D4C"/>
    <w:rsid w:val="005951B8"/>
    <w:rsid w:val="00596414"/>
    <w:rsid w:val="005A1A8D"/>
    <w:rsid w:val="005A5525"/>
    <w:rsid w:val="005A7832"/>
    <w:rsid w:val="005A7ACA"/>
    <w:rsid w:val="005B1B5E"/>
    <w:rsid w:val="005B7433"/>
    <w:rsid w:val="005B7DEC"/>
    <w:rsid w:val="005C3820"/>
    <w:rsid w:val="005C47AE"/>
    <w:rsid w:val="005C48C4"/>
    <w:rsid w:val="005C4EC7"/>
    <w:rsid w:val="005C53B6"/>
    <w:rsid w:val="005C6720"/>
    <w:rsid w:val="005C716A"/>
    <w:rsid w:val="005D0CDA"/>
    <w:rsid w:val="005D2DD9"/>
    <w:rsid w:val="005D2ED3"/>
    <w:rsid w:val="005D5CB9"/>
    <w:rsid w:val="005D5E5D"/>
    <w:rsid w:val="005D687E"/>
    <w:rsid w:val="005D74D9"/>
    <w:rsid w:val="005D754C"/>
    <w:rsid w:val="005E1068"/>
    <w:rsid w:val="005E10AE"/>
    <w:rsid w:val="005E2012"/>
    <w:rsid w:val="005E3507"/>
    <w:rsid w:val="005E36AF"/>
    <w:rsid w:val="005F02B5"/>
    <w:rsid w:val="005F0737"/>
    <w:rsid w:val="005F0CE4"/>
    <w:rsid w:val="005F294E"/>
    <w:rsid w:val="005F2D85"/>
    <w:rsid w:val="005F66C8"/>
    <w:rsid w:val="005F6F05"/>
    <w:rsid w:val="005F74DE"/>
    <w:rsid w:val="005F7C28"/>
    <w:rsid w:val="005F7D83"/>
    <w:rsid w:val="006009EE"/>
    <w:rsid w:val="006020A4"/>
    <w:rsid w:val="006050A8"/>
    <w:rsid w:val="00605B19"/>
    <w:rsid w:val="00606FC0"/>
    <w:rsid w:val="006107D9"/>
    <w:rsid w:val="00611745"/>
    <w:rsid w:val="006118F0"/>
    <w:rsid w:val="00613B37"/>
    <w:rsid w:val="00616205"/>
    <w:rsid w:val="006168E8"/>
    <w:rsid w:val="006248E5"/>
    <w:rsid w:val="00625872"/>
    <w:rsid w:val="006268BA"/>
    <w:rsid w:val="00626C53"/>
    <w:rsid w:val="00627A00"/>
    <w:rsid w:val="00630BA9"/>
    <w:rsid w:val="006319AC"/>
    <w:rsid w:val="00632B5F"/>
    <w:rsid w:val="00635095"/>
    <w:rsid w:val="00635818"/>
    <w:rsid w:val="006413D2"/>
    <w:rsid w:val="00644266"/>
    <w:rsid w:val="00644D42"/>
    <w:rsid w:val="006460B9"/>
    <w:rsid w:val="00647087"/>
    <w:rsid w:val="00651ACD"/>
    <w:rsid w:val="006520DC"/>
    <w:rsid w:val="0066153C"/>
    <w:rsid w:val="00661713"/>
    <w:rsid w:val="0066286B"/>
    <w:rsid w:val="00662A1B"/>
    <w:rsid w:val="00663338"/>
    <w:rsid w:val="00664477"/>
    <w:rsid w:val="00665268"/>
    <w:rsid w:val="006664D6"/>
    <w:rsid w:val="00670A5B"/>
    <w:rsid w:val="00671905"/>
    <w:rsid w:val="00673BE3"/>
    <w:rsid w:val="006745E0"/>
    <w:rsid w:val="00675FA8"/>
    <w:rsid w:val="00676265"/>
    <w:rsid w:val="006801DD"/>
    <w:rsid w:val="006805EC"/>
    <w:rsid w:val="0068187A"/>
    <w:rsid w:val="00681A8D"/>
    <w:rsid w:val="006820EE"/>
    <w:rsid w:val="00684F3F"/>
    <w:rsid w:val="006910DA"/>
    <w:rsid w:val="00691B56"/>
    <w:rsid w:val="0069322B"/>
    <w:rsid w:val="00694413"/>
    <w:rsid w:val="00695288"/>
    <w:rsid w:val="00696D74"/>
    <w:rsid w:val="006A1098"/>
    <w:rsid w:val="006A2C43"/>
    <w:rsid w:val="006A48B0"/>
    <w:rsid w:val="006A683C"/>
    <w:rsid w:val="006A7B69"/>
    <w:rsid w:val="006B53CA"/>
    <w:rsid w:val="006B6D93"/>
    <w:rsid w:val="006B749F"/>
    <w:rsid w:val="006C2C7B"/>
    <w:rsid w:val="006C4ABE"/>
    <w:rsid w:val="006C743D"/>
    <w:rsid w:val="006D0F31"/>
    <w:rsid w:val="006D1D03"/>
    <w:rsid w:val="006D27F8"/>
    <w:rsid w:val="006D2A9F"/>
    <w:rsid w:val="006D424F"/>
    <w:rsid w:val="006D4773"/>
    <w:rsid w:val="006D54B1"/>
    <w:rsid w:val="006D61CD"/>
    <w:rsid w:val="006E2F7C"/>
    <w:rsid w:val="006E5F72"/>
    <w:rsid w:val="006E6E58"/>
    <w:rsid w:val="006E7F1D"/>
    <w:rsid w:val="006F438D"/>
    <w:rsid w:val="006F44B1"/>
    <w:rsid w:val="006F5815"/>
    <w:rsid w:val="00700580"/>
    <w:rsid w:val="00702CF9"/>
    <w:rsid w:val="00703005"/>
    <w:rsid w:val="00703D18"/>
    <w:rsid w:val="0071101A"/>
    <w:rsid w:val="00711840"/>
    <w:rsid w:val="00712688"/>
    <w:rsid w:val="00712EFC"/>
    <w:rsid w:val="00712FCD"/>
    <w:rsid w:val="00713622"/>
    <w:rsid w:val="00714814"/>
    <w:rsid w:val="00716AFE"/>
    <w:rsid w:val="00717413"/>
    <w:rsid w:val="00717A42"/>
    <w:rsid w:val="00720D53"/>
    <w:rsid w:val="00722EFB"/>
    <w:rsid w:val="007230BB"/>
    <w:rsid w:val="0072535A"/>
    <w:rsid w:val="007254E6"/>
    <w:rsid w:val="00725DE2"/>
    <w:rsid w:val="00726883"/>
    <w:rsid w:val="00727F4A"/>
    <w:rsid w:val="007300DA"/>
    <w:rsid w:val="0074199D"/>
    <w:rsid w:val="00745769"/>
    <w:rsid w:val="007479EC"/>
    <w:rsid w:val="00751085"/>
    <w:rsid w:val="00752B0A"/>
    <w:rsid w:val="00752FD4"/>
    <w:rsid w:val="00753820"/>
    <w:rsid w:val="00754577"/>
    <w:rsid w:val="00755631"/>
    <w:rsid w:val="00755783"/>
    <w:rsid w:val="007564F4"/>
    <w:rsid w:val="007572CE"/>
    <w:rsid w:val="007579A3"/>
    <w:rsid w:val="00760916"/>
    <w:rsid w:val="007609B0"/>
    <w:rsid w:val="00760F67"/>
    <w:rsid w:val="007615C6"/>
    <w:rsid w:val="007657B0"/>
    <w:rsid w:val="0076777E"/>
    <w:rsid w:val="00767D3A"/>
    <w:rsid w:val="007700A0"/>
    <w:rsid w:val="007702D0"/>
    <w:rsid w:val="007708D6"/>
    <w:rsid w:val="00771119"/>
    <w:rsid w:val="00771648"/>
    <w:rsid w:val="007728D8"/>
    <w:rsid w:val="0077306B"/>
    <w:rsid w:val="0077457F"/>
    <w:rsid w:val="00776BC0"/>
    <w:rsid w:val="007805CB"/>
    <w:rsid w:val="007819D3"/>
    <w:rsid w:val="007827CF"/>
    <w:rsid w:val="0078287F"/>
    <w:rsid w:val="00784626"/>
    <w:rsid w:val="0078551C"/>
    <w:rsid w:val="00786965"/>
    <w:rsid w:val="007907FE"/>
    <w:rsid w:val="007924D0"/>
    <w:rsid w:val="00794A94"/>
    <w:rsid w:val="007A390D"/>
    <w:rsid w:val="007A3D01"/>
    <w:rsid w:val="007A430A"/>
    <w:rsid w:val="007A6C6A"/>
    <w:rsid w:val="007A7902"/>
    <w:rsid w:val="007B003E"/>
    <w:rsid w:val="007B0E11"/>
    <w:rsid w:val="007B367F"/>
    <w:rsid w:val="007B49A5"/>
    <w:rsid w:val="007B4E8B"/>
    <w:rsid w:val="007B5640"/>
    <w:rsid w:val="007B6787"/>
    <w:rsid w:val="007B6E8B"/>
    <w:rsid w:val="007B7C40"/>
    <w:rsid w:val="007C3193"/>
    <w:rsid w:val="007C7411"/>
    <w:rsid w:val="007C7783"/>
    <w:rsid w:val="007D2CE9"/>
    <w:rsid w:val="007D331C"/>
    <w:rsid w:val="007D6AE3"/>
    <w:rsid w:val="007D7F6E"/>
    <w:rsid w:val="007E105A"/>
    <w:rsid w:val="007E525E"/>
    <w:rsid w:val="007E5835"/>
    <w:rsid w:val="007E5C28"/>
    <w:rsid w:val="007E621F"/>
    <w:rsid w:val="007E76CF"/>
    <w:rsid w:val="007F28FA"/>
    <w:rsid w:val="007F3379"/>
    <w:rsid w:val="007F630E"/>
    <w:rsid w:val="007F6DA7"/>
    <w:rsid w:val="00802DAA"/>
    <w:rsid w:val="00803A6D"/>
    <w:rsid w:val="00803B28"/>
    <w:rsid w:val="00803C66"/>
    <w:rsid w:val="0080445C"/>
    <w:rsid w:val="00806B07"/>
    <w:rsid w:val="00812AC4"/>
    <w:rsid w:val="00812D0B"/>
    <w:rsid w:val="008135D8"/>
    <w:rsid w:val="00821372"/>
    <w:rsid w:val="00821D02"/>
    <w:rsid w:val="00822696"/>
    <w:rsid w:val="00826A31"/>
    <w:rsid w:val="00827EDE"/>
    <w:rsid w:val="00830843"/>
    <w:rsid w:val="00831E8C"/>
    <w:rsid w:val="00832682"/>
    <w:rsid w:val="0083449B"/>
    <w:rsid w:val="00834B0E"/>
    <w:rsid w:val="008353AD"/>
    <w:rsid w:val="00835EAE"/>
    <w:rsid w:val="00836982"/>
    <w:rsid w:val="00837185"/>
    <w:rsid w:val="0084326C"/>
    <w:rsid w:val="0084626D"/>
    <w:rsid w:val="00847A32"/>
    <w:rsid w:val="00847D53"/>
    <w:rsid w:val="00851B12"/>
    <w:rsid w:val="00851E1A"/>
    <w:rsid w:val="0085541A"/>
    <w:rsid w:val="00856BFF"/>
    <w:rsid w:val="00862D9F"/>
    <w:rsid w:val="008635C9"/>
    <w:rsid w:val="00866207"/>
    <w:rsid w:val="00866BE3"/>
    <w:rsid w:val="008701BD"/>
    <w:rsid w:val="00872F4D"/>
    <w:rsid w:val="00874409"/>
    <w:rsid w:val="00875041"/>
    <w:rsid w:val="008751C7"/>
    <w:rsid w:val="008808A5"/>
    <w:rsid w:val="00881DEB"/>
    <w:rsid w:val="00883192"/>
    <w:rsid w:val="0088321A"/>
    <w:rsid w:val="00884CC2"/>
    <w:rsid w:val="00885791"/>
    <w:rsid w:val="00886722"/>
    <w:rsid w:val="0088751A"/>
    <w:rsid w:val="00891967"/>
    <w:rsid w:val="00892482"/>
    <w:rsid w:val="00894C0E"/>
    <w:rsid w:val="00895226"/>
    <w:rsid w:val="008955DD"/>
    <w:rsid w:val="00895B26"/>
    <w:rsid w:val="00896FBA"/>
    <w:rsid w:val="008977FB"/>
    <w:rsid w:val="008A0585"/>
    <w:rsid w:val="008A20C6"/>
    <w:rsid w:val="008A2343"/>
    <w:rsid w:val="008A4103"/>
    <w:rsid w:val="008A5B06"/>
    <w:rsid w:val="008A7A07"/>
    <w:rsid w:val="008B031F"/>
    <w:rsid w:val="008B3850"/>
    <w:rsid w:val="008B3977"/>
    <w:rsid w:val="008B4201"/>
    <w:rsid w:val="008B4DE1"/>
    <w:rsid w:val="008B4EF2"/>
    <w:rsid w:val="008B6FAB"/>
    <w:rsid w:val="008B7A24"/>
    <w:rsid w:val="008C1766"/>
    <w:rsid w:val="008C18E9"/>
    <w:rsid w:val="008C1D89"/>
    <w:rsid w:val="008C2B5C"/>
    <w:rsid w:val="008C410D"/>
    <w:rsid w:val="008C5FC2"/>
    <w:rsid w:val="008D3FA8"/>
    <w:rsid w:val="008D4447"/>
    <w:rsid w:val="008D5880"/>
    <w:rsid w:val="008D71C2"/>
    <w:rsid w:val="008D75CE"/>
    <w:rsid w:val="008D7D6A"/>
    <w:rsid w:val="008E0051"/>
    <w:rsid w:val="008E08BA"/>
    <w:rsid w:val="008E0D8A"/>
    <w:rsid w:val="008E2910"/>
    <w:rsid w:val="008E2C88"/>
    <w:rsid w:val="008E4C83"/>
    <w:rsid w:val="008E4C84"/>
    <w:rsid w:val="008E7DF4"/>
    <w:rsid w:val="008F0DA7"/>
    <w:rsid w:val="008F3056"/>
    <w:rsid w:val="008F3CF8"/>
    <w:rsid w:val="008F4311"/>
    <w:rsid w:val="008F4B42"/>
    <w:rsid w:val="008F5CB6"/>
    <w:rsid w:val="00900DF9"/>
    <w:rsid w:val="00901F70"/>
    <w:rsid w:val="00902D95"/>
    <w:rsid w:val="00903446"/>
    <w:rsid w:val="0091073B"/>
    <w:rsid w:val="00912FCB"/>
    <w:rsid w:val="00915D5C"/>
    <w:rsid w:val="00915FC9"/>
    <w:rsid w:val="00916365"/>
    <w:rsid w:val="009201E5"/>
    <w:rsid w:val="009208A5"/>
    <w:rsid w:val="009208FE"/>
    <w:rsid w:val="009215ED"/>
    <w:rsid w:val="0092185C"/>
    <w:rsid w:val="009223CD"/>
    <w:rsid w:val="00923025"/>
    <w:rsid w:val="00924CB5"/>
    <w:rsid w:val="00925D52"/>
    <w:rsid w:val="00926805"/>
    <w:rsid w:val="00930CC0"/>
    <w:rsid w:val="00931231"/>
    <w:rsid w:val="009312BC"/>
    <w:rsid w:val="00931516"/>
    <w:rsid w:val="009318BC"/>
    <w:rsid w:val="00932130"/>
    <w:rsid w:val="0093422A"/>
    <w:rsid w:val="009366DA"/>
    <w:rsid w:val="00936EAE"/>
    <w:rsid w:val="00937184"/>
    <w:rsid w:val="009376A8"/>
    <w:rsid w:val="00937AE7"/>
    <w:rsid w:val="00937E29"/>
    <w:rsid w:val="009416B6"/>
    <w:rsid w:val="00941B31"/>
    <w:rsid w:val="00941D8E"/>
    <w:rsid w:val="009456AF"/>
    <w:rsid w:val="00946311"/>
    <w:rsid w:val="009479EB"/>
    <w:rsid w:val="00951481"/>
    <w:rsid w:val="00951676"/>
    <w:rsid w:val="00953260"/>
    <w:rsid w:val="00961272"/>
    <w:rsid w:val="009624F1"/>
    <w:rsid w:val="00962B86"/>
    <w:rsid w:val="009656C1"/>
    <w:rsid w:val="0096571B"/>
    <w:rsid w:val="00970825"/>
    <w:rsid w:val="00971037"/>
    <w:rsid w:val="00971113"/>
    <w:rsid w:val="00973E5E"/>
    <w:rsid w:val="0097550D"/>
    <w:rsid w:val="00976D13"/>
    <w:rsid w:val="0098393E"/>
    <w:rsid w:val="0098562C"/>
    <w:rsid w:val="00985B9A"/>
    <w:rsid w:val="009872C0"/>
    <w:rsid w:val="0099135D"/>
    <w:rsid w:val="00991726"/>
    <w:rsid w:val="009A0639"/>
    <w:rsid w:val="009A221B"/>
    <w:rsid w:val="009A33FC"/>
    <w:rsid w:val="009A7541"/>
    <w:rsid w:val="009B272B"/>
    <w:rsid w:val="009B2D40"/>
    <w:rsid w:val="009B5761"/>
    <w:rsid w:val="009B5B36"/>
    <w:rsid w:val="009B5BFE"/>
    <w:rsid w:val="009B65D4"/>
    <w:rsid w:val="009B784B"/>
    <w:rsid w:val="009B798B"/>
    <w:rsid w:val="009C063A"/>
    <w:rsid w:val="009C6063"/>
    <w:rsid w:val="009C707B"/>
    <w:rsid w:val="009C743A"/>
    <w:rsid w:val="009D225A"/>
    <w:rsid w:val="009D2BD6"/>
    <w:rsid w:val="009D2DEB"/>
    <w:rsid w:val="009D34FA"/>
    <w:rsid w:val="009D5804"/>
    <w:rsid w:val="009E20A0"/>
    <w:rsid w:val="009E244B"/>
    <w:rsid w:val="009E33B2"/>
    <w:rsid w:val="009E381F"/>
    <w:rsid w:val="009E45FE"/>
    <w:rsid w:val="009E5034"/>
    <w:rsid w:val="009E6E8D"/>
    <w:rsid w:val="009E7AAE"/>
    <w:rsid w:val="009F61C0"/>
    <w:rsid w:val="00A07C79"/>
    <w:rsid w:val="00A11A46"/>
    <w:rsid w:val="00A1314C"/>
    <w:rsid w:val="00A153B9"/>
    <w:rsid w:val="00A169F3"/>
    <w:rsid w:val="00A177B4"/>
    <w:rsid w:val="00A20AB7"/>
    <w:rsid w:val="00A20B76"/>
    <w:rsid w:val="00A211A1"/>
    <w:rsid w:val="00A23228"/>
    <w:rsid w:val="00A2473F"/>
    <w:rsid w:val="00A25722"/>
    <w:rsid w:val="00A25BB4"/>
    <w:rsid w:val="00A26916"/>
    <w:rsid w:val="00A3092C"/>
    <w:rsid w:val="00A31D9D"/>
    <w:rsid w:val="00A328EB"/>
    <w:rsid w:val="00A33007"/>
    <w:rsid w:val="00A3366B"/>
    <w:rsid w:val="00A33DF6"/>
    <w:rsid w:val="00A34EEE"/>
    <w:rsid w:val="00A362E4"/>
    <w:rsid w:val="00A41D1D"/>
    <w:rsid w:val="00A42F5D"/>
    <w:rsid w:val="00A474C0"/>
    <w:rsid w:val="00A47617"/>
    <w:rsid w:val="00A51B0A"/>
    <w:rsid w:val="00A53522"/>
    <w:rsid w:val="00A53BF0"/>
    <w:rsid w:val="00A541D0"/>
    <w:rsid w:val="00A60757"/>
    <w:rsid w:val="00A63327"/>
    <w:rsid w:val="00A633B0"/>
    <w:rsid w:val="00A64E55"/>
    <w:rsid w:val="00A657C8"/>
    <w:rsid w:val="00A66266"/>
    <w:rsid w:val="00A6732F"/>
    <w:rsid w:val="00A711ED"/>
    <w:rsid w:val="00A722A3"/>
    <w:rsid w:val="00A72BB1"/>
    <w:rsid w:val="00A73342"/>
    <w:rsid w:val="00A73ECA"/>
    <w:rsid w:val="00A75CDF"/>
    <w:rsid w:val="00A810EA"/>
    <w:rsid w:val="00A818FB"/>
    <w:rsid w:val="00A82ABD"/>
    <w:rsid w:val="00A840DE"/>
    <w:rsid w:val="00A853A7"/>
    <w:rsid w:val="00A85D61"/>
    <w:rsid w:val="00A867E3"/>
    <w:rsid w:val="00A8713F"/>
    <w:rsid w:val="00A91C15"/>
    <w:rsid w:val="00A92D28"/>
    <w:rsid w:val="00A931BC"/>
    <w:rsid w:val="00A96D6C"/>
    <w:rsid w:val="00AA1B0A"/>
    <w:rsid w:val="00AA56B6"/>
    <w:rsid w:val="00AA5F0B"/>
    <w:rsid w:val="00AB0734"/>
    <w:rsid w:val="00AB5C32"/>
    <w:rsid w:val="00AB7565"/>
    <w:rsid w:val="00AB767A"/>
    <w:rsid w:val="00AC3A40"/>
    <w:rsid w:val="00AC47D4"/>
    <w:rsid w:val="00AC56EB"/>
    <w:rsid w:val="00AC6387"/>
    <w:rsid w:val="00AC7DED"/>
    <w:rsid w:val="00AD04A7"/>
    <w:rsid w:val="00AD1E0F"/>
    <w:rsid w:val="00AD22F7"/>
    <w:rsid w:val="00AD2577"/>
    <w:rsid w:val="00AD38F6"/>
    <w:rsid w:val="00AD59F7"/>
    <w:rsid w:val="00AD64D4"/>
    <w:rsid w:val="00AE156E"/>
    <w:rsid w:val="00AE304D"/>
    <w:rsid w:val="00AE326A"/>
    <w:rsid w:val="00AE36BA"/>
    <w:rsid w:val="00AE3DEA"/>
    <w:rsid w:val="00AE412D"/>
    <w:rsid w:val="00AE4274"/>
    <w:rsid w:val="00AE434F"/>
    <w:rsid w:val="00AE4A7C"/>
    <w:rsid w:val="00AF1EAF"/>
    <w:rsid w:val="00AF204E"/>
    <w:rsid w:val="00AF30D9"/>
    <w:rsid w:val="00AF4252"/>
    <w:rsid w:val="00AF6AE9"/>
    <w:rsid w:val="00AF6CC4"/>
    <w:rsid w:val="00AF6F33"/>
    <w:rsid w:val="00B00434"/>
    <w:rsid w:val="00B015C2"/>
    <w:rsid w:val="00B027F0"/>
    <w:rsid w:val="00B02850"/>
    <w:rsid w:val="00B037EA"/>
    <w:rsid w:val="00B039CB"/>
    <w:rsid w:val="00B06B89"/>
    <w:rsid w:val="00B10712"/>
    <w:rsid w:val="00B14941"/>
    <w:rsid w:val="00B17545"/>
    <w:rsid w:val="00B20D97"/>
    <w:rsid w:val="00B253AF"/>
    <w:rsid w:val="00B3093A"/>
    <w:rsid w:val="00B312D9"/>
    <w:rsid w:val="00B36175"/>
    <w:rsid w:val="00B42D1B"/>
    <w:rsid w:val="00B42D3C"/>
    <w:rsid w:val="00B4486B"/>
    <w:rsid w:val="00B463B2"/>
    <w:rsid w:val="00B50253"/>
    <w:rsid w:val="00B54E40"/>
    <w:rsid w:val="00B633A3"/>
    <w:rsid w:val="00B660D0"/>
    <w:rsid w:val="00B70338"/>
    <w:rsid w:val="00B70401"/>
    <w:rsid w:val="00B70D38"/>
    <w:rsid w:val="00B7243A"/>
    <w:rsid w:val="00B72E3C"/>
    <w:rsid w:val="00B7303F"/>
    <w:rsid w:val="00B75BA4"/>
    <w:rsid w:val="00B8010E"/>
    <w:rsid w:val="00B80DCB"/>
    <w:rsid w:val="00B81CB9"/>
    <w:rsid w:val="00B82338"/>
    <w:rsid w:val="00B84199"/>
    <w:rsid w:val="00B8548F"/>
    <w:rsid w:val="00B86061"/>
    <w:rsid w:val="00B866DF"/>
    <w:rsid w:val="00B9003A"/>
    <w:rsid w:val="00B9044F"/>
    <w:rsid w:val="00B938F2"/>
    <w:rsid w:val="00B95588"/>
    <w:rsid w:val="00B9560A"/>
    <w:rsid w:val="00B966A6"/>
    <w:rsid w:val="00B97C01"/>
    <w:rsid w:val="00BA071C"/>
    <w:rsid w:val="00BA384F"/>
    <w:rsid w:val="00BA461D"/>
    <w:rsid w:val="00BA70BF"/>
    <w:rsid w:val="00BA70F3"/>
    <w:rsid w:val="00BB01A8"/>
    <w:rsid w:val="00BB0A2A"/>
    <w:rsid w:val="00BB4240"/>
    <w:rsid w:val="00BB4357"/>
    <w:rsid w:val="00BB6FA7"/>
    <w:rsid w:val="00BC0A74"/>
    <w:rsid w:val="00BC1357"/>
    <w:rsid w:val="00BC13C5"/>
    <w:rsid w:val="00BC1D07"/>
    <w:rsid w:val="00BC4024"/>
    <w:rsid w:val="00BC4630"/>
    <w:rsid w:val="00BC46F0"/>
    <w:rsid w:val="00BC5913"/>
    <w:rsid w:val="00BC5C90"/>
    <w:rsid w:val="00BC6383"/>
    <w:rsid w:val="00BD115D"/>
    <w:rsid w:val="00BD1602"/>
    <w:rsid w:val="00BD5736"/>
    <w:rsid w:val="00BD6271"/>
    <w:rsid w:val="00BD6813"/>
    <w:rsid w:val="00BE0DB7"/>
    <w:rsid w:val="00BE17CB"/>
    <w:rsid w:val="00BE1822"/>
    <w:rsid w:val="00BE3903"/>
    <w:rsid w:val="00BE3B64"/>
    <w:rsid w:val="00BE543F"/>
    <w:rsid w:val="00BE638C"/>
    <w:rsid w:val="00BF426D"/>
    <w:rsid w:val="00BF5C5A"/>
    <w:rsid w:val="00C0377C"/>
    <w:rsid w:val="00C0677F"/>
    <w:rsid w:val="00C071FF"/>
    <w:rsid w:val="00C11961"/>
    <w:rsid w:val="00C12AD7"/>
    <w:rsid w:val="00C138E7"/>
    <w:rsid w:val="00C1540F"/>
    <w:rsid w:val="00C157B2"/>
    <w:rsid w:val="00C17518"/>
    <w:rsid w:val="00C21746"/>
    <w:rsid w:val="00C22E12"/>
    <w:rsid w:val="00C23A14"/>
    <w:rsid w:val="00C23FF6"/>
    <w:rsid w:val="00C240F3"/>
    <w:rsid w:val="00C24CCD"/>
    <w:rsid w:val="00C24EC8"/>
    <w:rsid w:val="00C26C21"/>
    <w:rsid w:val="00C303D5"/>
    <w:rsid w:val="00C314CA"/>
    <w:rsid w:val="00C32537"/>
    <w:rsid w:val="00C3391A"/>
    <w:rsid w:val="00C362BC"/>
    <w:rsid w:val="00C42776"/>
    <w:rsid w:val="00C43A75"/>
    <w:rsid w:val="00C43C83"/>
    <w:rsid w:val="00C44403"/>
    <w:rsid w:val="00C46D82"/>
    <w:rsid w:val="00C5226F"/>
    <w:rsid w:val="00C522CD"/>
    <w:rsid w:val="00C52E71"/>
    <w:rsid w:val="00C5419B"/>
    <w:rsid w:val="00C5589D"/>
    <w:rsid w:val="00C57531"/>
    <w:rsid w:val="00C57685"/>
    <w:rsid w:val="00C6044E"/>
    <w:rsid w:val="00C60A91"/>
    <w:rsid w:val="00C60CCB"/>
    <w:rsid w:val="00C61DE5"/>
    <w:rsid w:val="00C62401"/>
    <w:rsid w:val="00C6310B"/>
    <w:rsid w:val="00C653CD"/>
    <w:rsid w:val="00C67033"/>
    <w:rsid w:val="00C674DC"/>
    <w:rsid w:val="00C71752"/>
    <w:rsid w:val="00C722DB"/>
    <w:rsid w:val="00C74EC2"/>
    <w:rsid w:val="00C75065"/>
    <w:rsid w:val="00C756B9"/>
    <w:rsid w:val="00C77B3D"/>
    <w:rsid w:val="00C80A99"/>
    <w:rsid w:val="00C819C9"/>
    <w:rsid w:val="00C84166"/>
    <w:rsid w:val="00C8431F"/>
    <w:rsid w:val="00C863D1"/>
    <w:rsid w:val="00C9104D"/>
    <w:rsid w:val="00C92575"/>
    <w:rsid w:val="00C930AF"/>
    <w:rsid w:val="00C93B1B"/>
    <w:rsid w:val="00C955C6"/>
    <w:rsid w:val="00C957EA"/>
    <w:rsid w:val="00C972F5"/>
    <w:rsid w:val="00CA1713"/>
    <w:rsid w:val="00CA297B"/>
    <w:rsid w:val="00CA2CBA"/>
    <w:rsid w:val="00CA382D"/>
    <w:rsid w:val="00CA5589"/>
    <w:rsid w:val="00CA6EFA"/>
    <w:rsid w:val="00CA75AC"/>
    <w:rsid w:val="00CB1F74"/>
    <w:rsid w:val="00CB2756"/>
    <w:rsid w:val="00CB41B7"/>
    <w:rsid w:val="00CB42A4"/>
    <w:rsid w:val="00CB509B"/>
    <w:rsid w:val="00CB682A"/>
    <w:rsid w:val="00CB6DC2"/>
    <w:rsid w:val="00CB6EFE"/>
    <w:rsid w:val="00CB7197"/>
    <w:rsid w:val="00CB78AC"/>
    <w:rsid w:val="00CC0CAB"/>
    <w:rsid w:val="00CC2536"/>
    <w:rsid w:val="00CC3598"/>
    <w:rsid w:val="00CC3900"/>
    <w:rsid w:val="00CC53DA"/>
    <w:rsid w:val="00CC701C"/>
    <w:rsid w:val="00CC7B75"/>
    <w:rsid w:val="00CD0E54"/>
    <w:rsid w:val="00CD572C"/>
    <w:rsid w:val="00CD5B97"/>
    <w:rsid w:val="00CD5E11"/>
    <w:rsid w:val="00CD6359"/>
    <w:rsid w:val="00CE000B"/>
    <w:rsid w:val="00CE0F84"/>
    <w:rsid w:val="00CE3338"/>
    <w:rsid w:val="00CE3A00"/>
    <w:rsid w:val="00CE42B3"/>
    <w:rsid w:val="00CE75E7"/>
    <w:rsid w:val="00CE7EAD"/>
    <w:rsid w:val="00CF0F03"/>
    <w:rsid w:val="00CF1457"/>
    <w:rsid w:val="00CF1C60"/>
    <w:rsid w:val="00CF1CBB"/>
    <w:rsid w:val="00CF252C"/>
    <w:rsid w:val="00CF6CAC"/>
    <w:rsid w:val="00CF6E3F"/>
    <w:rsid w:val="00D01903"/>
    <w:rsid w:val="00D01A36"/>
    <w:rsid w:val="00D04232"/>
    <w:rsid w:val="00D04969"/>
    <w:rsid w:val="00D04AB2"/>
    <w:rsid w:val="00D04CEE"/>
    <w:rsid w:val="00D059DF"/>
    <w:rsid w:val="00D075AB"/>
    <w:rsid w:val="00D0786B"/>
    <w:rsid w:val="00D12AAC"/>
    <w:rsid w:val="00D14591"/>
    <w:rsid w:val="00D148B7"/>
    <w:rsid w:val="00D15679"/>
    <w:rsid w:val="00D1671A"/>
    <w:rsid w:val="00D2110A"/>
    <w:rsid w:val="00D213F4"/>
    <w:rsid w:val="00D22145"/>
    <w:rsid w:val="00D23361"/>
    <w:rsid w:val="00D249D9"/>
    <w:rsid w:val="00D25410"/>
    <w:rsid w:val="00D265A5"/>
    <w:rsid w:val="00D30104"/>
    <w:rsid w:val="00D3134F"/>
    <w:rsid w:val="00D32553"/>
    <w:rsid w:val="00D35A05"/>
    <w:rsid w:val="00D371BE"/>
    <w:rsid w:val="00D40BD4"/>
    <w:rsid w:val="00D42227"/>
    <w:rsid w:val="00D42562"/>
    <w:rsid w:val="00D447B9"/>
    <w:rsid w:val="00D4609C"/>
    <w:rsid w:val="00D465EF"/>
    <w:rsid w:val="00D46A5F"/>
    <w:rsid w:val="00D47AE4"/>
    <w:rsid w:val="00D47CA4"/>
    <w:rsid w:val="00D50A6A"/>
    <w:rsid w:val="00D50C8D"/>
    <w:rsid w:val="00D51C58"/>
    <w:rsid w:val="00D52AC2"/>
    <w:rsid w:val="00D5414E"/>
    <w:rsid w:val="00D54A60"/>
    <w:rsid w:val="00D56ED0"/>
    <w:rsid w:val="00D56F59"/>
    <w:rsid w:val="00D56F91"/>
    <w:rsid w:val="00D60F6B"/>
    <w:rsid w:val="00D61B51"/>
    <w:rsid w:val="00D61B79"/>
    <w:rsid w:val="00D61E4C"/>
    <w:rsid w:val="00D62644"/>
    <w:rsid w:val="00D640D9"/>
    <w:rsid w:val="00D647B3"/>
    <w:rsid w:val="00D65AA0"/>
    <w:rsid w:val="00D76206"/>
    <w:rsid w:val="00D76954"/>
    <w:rsid w:val="00D76C40"/>
    <w:rsid w:val="00D77268"/>
    <w:rsid w:val="00D802BD"/>
    <w:rsid w:val="00D807FB"/>
    <w:rsid w:val="00D81C55"/>
    <w:rsid w:val="00D82180"/>
    <w:rsid w:val="00D83677"/>
    <w:rsid w:val="00D84A83"/>
    <w:rsid w:val="00D86A11"/>
    <w:rsid w:val="00D87C9F"/>
    <w:rsid w:val="00D87F74"/>
    <w:rsid w:val="00D90F72"/>
    <w:rsid w:val="00D91769"/>
    <w:rsid w:val="00D93A45"/>
    <w:rsid w:val="00D93D6D"/>
    <w:rsid w:val="00DA18A0"/>
    <w:rsid w:val="00DA1C3A"/>
    <w:rsid w:val="00DA2A25"/>
    <w:rsid w:val="00DA34D4"/>
    <w:rsid w:val="00DA3966"/>
    <w:rsid w:val="00DA5277"/>
    <w:rsid w:val="00DA68BE"/>
    <w:rsid w:val="00DA6A6C"/>
    <w:rsid w:val="00DB2048"/>
    <w:rsid w:val="00DB209E"/>
    <w:rsid w:val="00DB2200"/>
    <w:rsid w:val="00DB2D72"/>
    <w:rsid w:val="00DB2E17"/>
    <w:rsid w:val="00DB4174"/>
    <w:rsid w:val="00DB550C"/>
    <w:rsid w:val="00DB71A3"/>
    <w:rsid w:val="00DB7CD4"/>
    <w:rsid w:val="00DC24C2"/>
    <w:rsid w:val="00DC333E"/>
    <w:rsid w:val="00DC383E"/>
    <w:rsid w:val="00DC6F23"/>
    <w:rsid w:val="00DC7950"/>
    <w:rsid w:val="00DD20A6"/>
    <w:rsid w:val="00DD2AC9"/>
    <w:rsid w:val="00DD79C3"/>
    <w:rsid w:val="00DE0245"/>
    <w:rsid w:val="00DE03BD"/>
    <w:rsid w:val="00DE0843"/>
    <w:rsid w:val="00DE0B51"/>
    <w:rsid w:val="00DE0EDF"/>
    <w:rsid w:val="00DE4046"/>
    <w:rsid w:val="00DE4A65"/>
    <w:rsid w:val="00DE66EA"/>
    <w:rsid w:val="00DE67C1"/>
    <w:rsid w:val="00DF0CC9"/>
    <w:rsid w:val="00DF3CD4"/>
    <w:rsid w:val="00DF7B09"/>
    <w:rsid w:val="00E01DB0"/>
    <w:rsid w:val="00E03E1A"/>
    <w:rsid w:val="00E05090"/>
    <w:rsid w:val="00E05A77"/>
    <w:rsid w:val="00E07756"/>
    <w:rsid w:val="00E07F71"/>
    <w:rsid w:val="00E11542"/>
    <w:rsid w:val="00E11F4B"/>
    <w:rsid w:val="00E12DBE"/>
    <w:rsid w:val="00E13195"/>
    <w:rsid w:val="00E13597"/>
    <w:rsid w:val="00E13724"/>
    <w:rsid w:val="00E143F1"/>
    <w:rsid w:val="00E20E88"/>
    <w:rsid w:val="00E22892"/>
    <w:rsid w:val="00E26275"/>
    <w:rsid w:val="00E26387"/>
    <w:rsid w:val="00E26530"/>
    <w:rsid w:val="00E27066"/>
    <w:rsid w:val="00E27524"/>
    <w:rsid w:val="00E27F24"/>
    <w:rsid w:val="00E3439A"/>
    <w:rsid w:val="00E372F8"/>
    <w:rsid w:val="00E37532"/>
    <w:rsid w:val="00E37CD5"/>
    <w:rsid w:val="00E40EC8"/>
    <w:rsid w:val="00E440DE"/>
    <w:rsid w:val="00E452B4"/>
    <w:rsid w:val="00E4566D"/>
    <w:rsid w:val="00E5248B"/>
    <w:rsid w:val="00E55A8F"/>
    <w:rsid w:val="00E611F4"/>
    <w:rsid w:val="00E61E59"/>
    <w:rsid w:val="00E6208F"/>
    <w:rsid w:val="00E6248D"/>
    <w:rsid w:val="00E626AF"/>
    <w:rsid w:val="00E62837"/>
    <w:rsid w:val="00E63536"/>
    <w:rsid w:val="00E6361B"/>
    <w:rsid w:val="00E66162"/>
    <w:rsid w:val="00E668E4"/>
    <w:rsid w:val="00E67722"/>
    <w:rsid w:val="00E705EA"/>
    <w:rsid w:val="00E7233A"/>
    <w:rsid w:val="00E72F56"/>
    <w:rsid w:val="00E732CE"/>
    <w:rsid w:val="00E824AA"/>
    <w:rsid w:val="00E82FE7"/>
    <w:rsid w:val="00E833FC"/>
    <w:rsid w:val="00E834E4"/>
    <w:rsid w:val="00E9049B"/>
    <w:rsid w:val="00E908BA"/>
    <w:rsid w:val="00E932E3"/>
    <w:rsid w:val="00E95450"/>
    <w:rsid w:val="00E97409"/>
    <w:rsid w:val="00EA00EE"/>
    <w:rsid w:val="00EA0517"/>
    <w:rsid w:val="00EA0A14"/>
    <w:rsid w:val="00EA1D44"/>
    <w:rsid w:val="00EA6735"/>
    <w:rsid w:val="00EA7F95"/>
    <w:rsid w:val="00EB2CED"/>
    <w:rsid w:val="00EB3D03"/>
    <w:rsid w:val="00EB4C20"/>
    <w:rsid w:val="00EB55EB"/>
    <w:rsid w:val="00EB6F93"/>
    <w:rsid w:val="00EB76C1"/>
    <w:rsid w:val="00EC026A"/>
    <w:rsid w:val="00EC07AE"/>
    <w:rsid w:val="00EC187E"/>
    <w:rsid w:val="00EC24AC"/>
    <w:rsid w:val="00EC3CCB"/>
    <w:rsid w:val="00EC3FAC"/>
    <w:rsid w:val="00EC7C20"/>
    <w:rsid w:val="00ED02C2"/>
    <w:rsid w:val="00ED06DC"/>
    <w:rsid w:val="00ED24B7"/>
    <w:rsid w:val="00ED2538"/>
    <w:rsid w:val="00ED6CD2"/>
    <w:rsid w:val="00EE28A7"/>
    <w:rsid w:val="00EE3AA4"/>
    <w:rsid w:val="00EE5048"/>
    <w:rsid w:val="00EE623B"/>
    <w:rsid w:val="00EE66E1"/>
    <w:rsid w:val="00EE68C3"/>
    <w:rsid w:val="00EF0A00"/>
    <w:rsid w:val="00EF47E1"/>
    <w:rsid w:val="00EF494F"/>
    <w:rsid w:val="00EF5254"/>
    <w:rsid w:val="00EF74B8"/>
    <w:rsid w:val="00EF773F"/>
    <w:rsid w:val="00F0039B"/>
    <w:rsid w:val="00F008BE"/>
    <w:rsid w:val="00F01A64"/>
    <w:rsid w:val="00F02F8B"/>
    <w:rsid w:val="00F03D7E"/>
    <w:rsid w:val="00F04C89"/>
    <w:rsid w:val="00F06D19"/>
    <w:rsid w:val="00F07AF2"/>
    <w:rsid w:val="00F109E6"/>
    <w:rsid w:val="00F12B1B"/>
    <w:rsid w:val="00F13B0E"/>
    <w:rsid w:val="00F143D1"/>
    <w:rsid w:val="00F20DAE"/>
    <w:rsid w:val="00F26418"/>
    <w:rsid w:val="00F26ED0"/>
    <w:rsid w:val="00F271EF"/>
    <w:rsid w:val="00F27C13"/>
    <w:rsid w:val="00F34596"/>
    <w:rsid w:val="00F3563C"/>
    <w:rsid w:val="00F3575E"/>
    <w:rsid w:val="00F3653A"/>
    <w:rsid w:val="00F37D6B"/>
    <w:rsid w:val="00F40402"/>
    <w:rsid w:val="00F41844"/>
    <w:rsid w:val="00F43B33"/>
    <w:rsid w:val="00F43EFB"/>
    <w:rsid w:val="00F45147"/>
    <w:rsid w:val="00F45ECF"/>
    <w:rsid w:val="00F46FCE"/>
    <w:rsid w:val="00F474D8"/>
    <w:rsid w:val="00F50600"/>
    <w:rsid w:val="00F50A28"/>
    <w:rsid w:val="00F50B36"/>
    <w:rsid w:val="00F51737"/>
    <w:rsid w:val="00F53483"/>
    <w:rsid w:val="00F53905"/>
    <w:rsid w:val="00F53E80"/>
    <w:rsid w:val="00F54338"/>
    <w:rsid w:val="00F56035"/>
    <w:rsid w:val="00F57674"/>
    <w:rsid w:val="00F60B6E"/>
    <w:rsid w:val="00F62F9D"/>
    <w:rsid w:val="00F63591"/>
    <w:rsid w:val="00F66187"/>
    <w:rsid w:val="00F67690"/>
    <w:rsid w:val="00F70833"/>
    <w:rsid w:val="00F70C10"/>
    <w:rsid w:val="00F725E1"/>
    <w:rsid w:val="00F74764"/>
    <w:rsid w:val="00F75409"/>
    <w:rsid w:val="00F75813"/>
    <w:rsid w:val="00F75F9D"/>
    <w:rsid w:val="00F76F16"/>
    <w:rsid w:val="00F80AA6"/>
    <w:rsid w:val="00F8307D"/>
    <w:rsid w:val="00F83592"/>
    <w:rsid w:val="00F84C13"/>
    <w:rsid w:val="00F86E19"/>
    <w:rsid w:val="00F91A94"/>
    <w:rsid w:val="00F922C0"/>
    <w:rsid w:val="00F938B3"/>
    <w:rsid w:val="00F94C47"/>
    <w:rsid w:val="00FA02FC"/>
    <w:rsid w:val="00FA1A28"/>
    <w:rsid w:val="00FB0608"/>
    <w:rsid w:val="00FB20AB"/>
    <w:rsid w:val="00FB39A9"/>
    <w:rsid w:val="00FB4709"/>
    <w:rsid w:val="00FB4DF3"/>
    <w:rsid w:val="00FB63C4"/>
    <w:rsid w:val="00FC037B"/>
    <w:rsid w:val="00FC042F"/>
    <w:rsid w:val="00FC1602"/>
    <w:rsid w:val="00FC1AC7"/>
    <w:rsid w:val="00FC28A7"/>
    <w:rsid w:val="00FC4134"/>
    <w:rsid w:val="00FC64F4"/>
    <w:rsid w:val="00FC6A0B"/>
    <w:rsid w:val="00FC7A99"/>
    <w:rsid w:val="00FD238A"/>
    <w:rsid w:val="00FD2736"/>
    <w:rsid w:val="00FD2CA3"/>
    <w:rsid w:val="00FD3E49"/>
    <w:rsid w:val="00FD5616"/>
    <w:rsid w:val="00FD61D7"/>
    <w:rsid w:val="00FD6E9B"/>
    <w:rsid w:val="00FE0726"/>
    <w:rsid w:val="00FE0FE8"/>
    <w:rsid w:val="00FE2209"/>
    <w:rsid w:val="00FE4FDE"/>
    <w:rsid w:val="00FE5EF8"/>
    <w:rsid w:val="00FE63E1"/>
    <w:rsid w:val="00FF26BE"/>
    <w:rsid w:val="00FF2917"/>
    <w:rsid w:val="00FF44EC"/>
    <w:rsid w:val="00FF4F11"/>
    <w:rsid w:val="00FF69B3"/>
    <w:rsid w:val="00FF6D94"/>
    <w:rsid w:val="01563768"/>
    <w:rsid w:val="019F2A82"/>
    <w:rsid w:val="026D4C42"/>
    <w:rsid w:val="029019C3"/>
    <w:rsid w:val="02C84B14"/>
    <w:rsid w:val="02CB07C1"/>
    <w:rsid w:val="02E85209"/>
    <w:rsid w:val="03123DCA"/>
    <w:rsid w:val="03452814"/>
    <w:rsid w:val="03663FB0"/>
    <w:rsid w:val="04204256"/>
    <w:rsid w:val="045457F6"/>
    <w:rsid w:val="04C36E6B"/>
    <w:rsid w:val="05146FBD"/>
    <w:rsid w:val="05516791"/>
    <w:rsid w:val="05765C87"/>
    <w:rsid w:val="058A54F7"/>
    <w:rsid w:val="0596483F"/>
    <w:rsid w:val="064A73D7"/>
    <w:rsid w:val="066D0164"/>
    <w:rsid w:val="070A528F"/>
    <w:rsid w:val="07502258"/>
    <w:rsid w:val="07590886"/>
    <w:rsid w:val="077725D0"/>
    <w:rsid w:val="07BE3160"/>
    <w:rsid w:val="07FD7BDC"/>
    <w:rsid w:val="0828138A"/>
    <w:rsid w:val="089462D0"/>
    <w:rsid w:val="08955C95"/>
    <w:rsid w:val="093F343F"/>
    <w:rsid w:val="0947064E"/>
    <w:rsid w:val="0999523A"/>
    <w:rsid w:val="09FA5236"/>
    <w:rsid w:val="0A1E3055"/>
    <w:rsid w:val="0A5008E8"/>
    <w:rsid w:val="0A632453"/>
    <w:rsid w:val="0A682F41"/>
    <w:rsid w:val="0A882785"/>
    <w:rsid w:val="0AA76432"/>
    <w:rsid w:val="0AB37A86"/>
    <w:rsid w:val="0AEC4FA8"/>
    <w:rsid w:val="0B3B3F23"/>
    <w:rsid w:val="0B6B4A40"/>
    <w:rsid w:val="0C5B3C20"/>
    <w:rsid w:val="0C7A5771"/>
    <w:rsid w:val="0CB668D8"/>
    <w:rsid w:val="0D6973C4"/>
    <w:rsid w:val="0D8F585B"/>
    <w:rsid w:val="0DBD121C"/>
    <w:rsid w:val="0E3A0414"/>
    <w:rsid w:val="0E957B7F"/>
    <w:rsid w:val="0EB30E92"/>
    <w:rsid w:val="0F21511C"/>
    <w:rsid w:val="0F9D5B5C"/>
    <w:rsid w:val="0FD91F5F"/>
    <w:rsid w:val="0FE47A65"/>
    <w:rsid w:val="10407EBC"/>
    <w:rsid w:val="104D0536"/>
    <w:rsid w:val="105A290D"/>
    <w:rsid w:val="105B43DE"/>
    <w:rsid w:val="106A61FD"/>
    <w:rsid w:val="107625F2"/>
    <w:rsid w:val="107E6CF6"/>
    <w:rsid w:val="10E943BC"/>
    <w:rsid w:val="10F22BD9"/>
    <w:rsid w:val="11C23DA7"/>
    <w:rsid w:val="11C26ABF"/>
    <w:rsid w:val="11C520A9"/>
    <w:rsid w:val="11C6025A"/>
    <w:rsid w:val="127163F4"/>
    <w:rsid w:val="12794AAC"/>
    <w:rsid w:val="13054023"/>
    <w:rsid w:val="13095510"/>
    <w:rsid w:val="132F62D2"/>
    <w:rsid w:val="13391E64"/>
    <w:rsid w:val="136936CE"/>
    <w:rsid w:val="13D84274"/>
    <w:rsid w:val="146331F7"/>
    <w:rsid w:val="149D13D4"/>
    <w:rsid w:val="14A81E98"/>
    <w:rsid w:val="14AD5701"/>
    <w:rsid w:val="14E1356C"/>
    <w:rsid w:val="15351994"/>
    <w:rsid w:val="153C4309"/>
    <w:rsid w:val="15545B7C"/>
    <w:rsid w:val="15555573"/>
    <w:rsid w:val="15722DE6"/>
    <w:rsid w:val="162F601D"/>
    <w:rsid w:val="166D1025"/>
    <w:rsid w:val="169F6FDF"/>
    <w:rsid w:val="16C505C9"/>
    <w:rsid w:val="16F37198"/>
    <w:rsid w:val="17753CE2"/>
    <w:rsid w:val="17973DC5"/>
    <w:rsid w:val="17A6044E"/>
    <w:rsid w:val="17EE47D9"/>
    <w:rsid w:val="17F2067A"/>
    <w:rsid w:val="180509EC"/>
    <w:rsid w:val="1820354A"/>
    <w:rsid w:val="18365763"/>
    <w:rsid w:val="188671B2"/>
    <w:rsid w:val="189D1CDB"/>
    <w:rsid w:val="19634FA0"/>
    <w:rsid w:val="1964512D"/>
    <w:rsid w:val="19805E57"/>
    <w:rsid w:val="19C31523"/>
    <w:rsid w:val="1A1C1C73"/>
    <w:rsid w:val="1A2013CA"/>
    <w:rsid w:val="1A5A028B"/>
    <w:rsid w:val="1AA749A0"/>
    <w:rsid w:val="1B0E5853"/>
    <w:rsid w:val="1B3566E6"/>
    <w:rsid w:val="1B432C7F"/>
    <w:rsid w:val="1B4A01B8"/>
    <w:rsid w:val="1B741977"/>
    <w:rsid w:val="1B9E2247"/>
    <w:rsid w:val="1BCF0653"/>
    <w:rsid w:val="1C297D10"/>
    <w:rsid w:val="1C494EF5"/>
    <w:rsid w:val="1C727A16"/>
    <w:rsid w:val="1C7824BB"/>
    <w:rsid w:val="1C7A43B4"/>
    <w:rsid w:val="1D1E18D3"/>
    <w:rsid w:val="1D4E6AE9"/>
    <w:rsid w:val="1E64246E"/>
    <w:rsid w:val="1E6550E8"/>
    <w:rsid w:val="1EAB2A5F"/>
    <w:rsid w:val="1ED7525E"/>
    <w:rsid w:val="1F172C1E"/>
    <w:rsid w:val="1F783897"/>
    <w:rsid w:val="1FEF993E"/>
    <w:rsid w:val="200B56F5"/>
    <w:rsid w:val="205D59B9"/>
    <w:rsid w:val="211225E9"/>
    <w:rsid w:val="21392F8F"/>
    <w:rsid w:val="216D60E5"/>
    <w:rsid w:val="21812FF2"/>
    <w:rsid w:val="21D27CB9"/>
    <w:rsid w:val="21EE5390"/>
    <w:rsid w:val="22145011"/>
    <w:rsid w:val="226513C9"/>
    <w:rsid w:val="2291321D"/>
    <w:rsid w:val="229E76B2"/>
    <w:rsid w:val="22A34167"/>
    <w:rsid w:val="22BF3A8F"/>
    <w:rsid w:val="22E77013"/>
    <w:rsid w:val="231D1076"/>
    <w:rsid w:val="237512A8"/>
    <w:rsid w:val="23952621"/>
    <w:rsid w:val="23C465C3"/>
    <w:rsid w:val="241C4260"/>
    <w:rsid w:val="24464FDE"/>
    <w:rsid w:val="24843087"/>
    <w:rsid w:val="25CB3E68"/>
    <w:rsid w:val="25F461A8"/>
    <w:rsid w:val="268B5446"/>
    <w:rsid w:val="26F85A12"/>
    <w:rsid w:val="27065EE3"/>
    <w:rsid w:val="271F326C"/>
    <w:rsid w:val="27633147"/>
    <w:rsid w:val="27CA1682"/>
    <w:rsid w:val="27D97E25"/>
    <w:rsid w:val="282F7E0B"/>
    <w:rsid w:val="28386847"/>
    <w:rsid w:val="28AF47E9"/>
    <w:rsid w:val="28FD0531"/>
    <w:rsid w:val="2955754D"/>
    <w:rsid w:val="29712D49"/>
    <w:rsid w:val="29847E17"/>
    <w:rsid w:val="29BE7F4B"/>
    <w:rsid w:val="29D07A70"/>
    <w:rsid w:val="29E17ECF"/>
    <w:rsid w:val="2A0C4820"/>
    <w:rsid w:val="2A152BF2"/>
    <w:rsid w:val="2A184C07"/>
    <w:rsid w:val="2A4072EB"/>
    <w:rsid w:val="2AB57BE7"/>
    <w:rsid w:val="2ABC699F"/>
    <w:rsid w:val="2AC63E77"/>
    <w:rsid w:val="2AE12D90"/>
    <w:rsid w:val="2B1653D7"/>
    <w:rsid w:val="2B1A3846"/>
    <w:rsid w:val="2B7F321F"/>
    <w:rsid w:val="2B9463F7"/>
    <w:rsid w:val="2C2736AE"/>
    <w:rsid w:val="2C4E6129"/>
    <w:rsid w:val="2C666469"/>
    <w:rsid w:val="2CAB0320"/>
    <w:rsid w:val="2D370173"/>
    <w:rsid w:val="2D7D3C8B"/>
    <w:rsid w:val="2D956139"/>
    <w:rsid w:val="2DE231D2"/>
    <w:rsid w:val="2E03143D"/>
    <w:rsid w:val="2E417A53"/>
    <w:rsid w:val="2E6901EE"/>
    <w:rsid w:val="2EFB18F4"/>
    <w:rsid w:val="2F4A32C4"/>
    <w:rsid w:val="2F5139A1"/>
    <w:rsid w:val="2F914F3B"/>
    <w:rsid w:val="2FBF14F4"/>
    <w:rsid w:val="2FE41DA7"/>
    <w:rsid w:val="2FE81E6E"/>
    <w:rsid w:val="30505FB1"/>
    <w:rsid w:val="30603709"/>
    <w:rsid w:val="311076FD"/>
    <w:rsid w:val="314F30A2"/>
    <w:rsid w:val="319F5B77"/>
    <w:rsid w:val="31A12BB8"/>
    <w:rsid w:val="321D5B86"/>
    <w:rsid w:val="327428B0"/>
    <w:rsid w:val="32C141D6"/>
    <w:rsid w:val="32EB098B"/>
    <w:rsid w:val="32F76305"/>
    <w:rsid w:val="32FE126B"/>
    <w:rsid w:val="332158A3"/>
    <w:rsid w:val="33307DCE"/>
    <w:rsid w:val="333720C3"/>
    <w:rsid w:val="33650773"/>
    <w:rsid w:val="33A92351"/>
    <w:rsid w:val="33BB0F0C"/>
    <w:rsid w:val="34D26919"/>
    <w:rsid w:val="34E94EEA"/>
    <w:rsid w:val="35117CA8"/>
    <w:rsid w:val="351E10B4"/>
    <w:rsid w:val="35374FFE"/>
    <w:rsid w:val="354061F0"/>
    <w:rsid w:val="355459A4"/>
    <w:rsid w:val="357E0CC8"/>
    <w:rsid w:val="35EC6090"/>
    <w:rsid w:val="364C354D"/>
    <w:rsid w:val="36C93593"/>
    <w:rsid w:val="36DE7E58"/>
    <w:rsid w:val="37226105"/>
    <w:rsid w:val="377D525C"/>
    <w:rsid w:val="37AD13F0"/>
    <w:rsid w:val="37AD6536"/>
    <w:rsid w:val="37E1109A"/>
    <w:rsid w:val="37F71582"/>
    <w:rsid w:val="38253D60"/>
    <w:rsid w:val="38726196"/>
    <w:rsid w:val="3885236D"/>
    <w:rsid w:val="38CE7AA8"/>
    <w:rsid w:val="38D051A5"/>
    <w:rsid w:val="3903151B"/>
    <w:rsid w:val="39134D4D"/>
    <w:rsid w:val="393E2877"/>
    <w:rsid w:val="39443B39"/>
    <w:rsid w:val="39682C9D"/>
    <w:rsid w:val="396D591D"/>
    <w:rsid w:val="39955CD1"/>
    <w:rsid w:val="399F7126"/>
    <w:rsid w:val="39A84565"/>
    <w:rsid w:val="39B278E7"/>
    <w:rsid w:val="39BB4369"/>
    <w:rsid w:val="39EC1EDE"/>
    <w:rsid w:val="3AA03F45"/>
    <w:rsid w:val="3AA504A8"/>
    <w:rsid w:val="3AAB598F"/>
    <w:rsid w:val="3ABD4362"/>
    <w:rsid w:val="3AE168E8"/>
    <w:rsid w:val="3BC22502"/>
    <w:rsid w:val="3BEC4D50"/>
    <w:rsid w:val="3BF84C04"/>
    <w:rsid w:val="3C201CB9"/>
    <w:rsid w:val="3CC56A56"/>
    <w:rsid w:val="3D102D92"/>
    <w:rsid w:val="3D6738A5"/>
    <w:rsid w:val="3D7644BF"/>
    <w:rsid w:val="3D7E0EF1"/>
    <w:rsid w:val="3DA325F5"/>
    <w:rsid w:val="3E4902EC"/>
    <w:rsid w:val="3EAF333B"/>
    <w:rsid w:val="3ECE06FD"/>
    <w:rsid w:val="3F077A2A"/>
    <w:rsid w:val="3F1B089E"/>
    <w:rsid w:val="3F6D5ACA"/>
    <w:rsid w:val="3F72411C"/>
    <w:rsid w:val="3FFA03CE"/>
    <w:rsid w:val="401D3DE8"/>
    <w:rsid w:val="40363199"/>
    <w:rsid w:val="40487991"/>
    <w:rsid w:val="406E5721"/>
    <w:rsid w:val="40A064AC"/>
    <w:rsid w:val="40D25F29"/>
    <w:rsid w:val="411C6FA1"/>
    <w:rsid w:val="421B6A16"/>
    <w:rsid w:val="42292D8A"/>
    <w:rsid w:val="424F63A2"/>
    <w:rsid w:val="42A54802"/>
    <w:rsid w:val="42AD50EE"/>
    <w:rsid w:val="435757DC"/>
    <w:rsid w:val="4359047F"/>
    <w:rsid w:val="4359294F"/>
    <w:rsid w:val="43DB26C6"/>
    <w:rsid w:val="43DF0854"/>
    <w:rsid w:val="44E218A7"/>
    <w:rsid w:val="44EC14F6"/>
    <w:rsid w:val="44FF3EA6"/>
    <w:rsid w:val="452229A9"/>
    <w:rsid w:val="45AD7EFC"/>
    <w:rsid w:val="45B623B2"/>
    <w:rsid w:val="45F3610A"/>
    <w:rsid w:val="4605076A"/>
    <w:rsid w:val="46715CDF"/>
    <w:rsid w:val="471033E5"/>
    <w:rsid w:val="4723729D"/>
    <w:rsid w:val="47FB7F56"/>
    <w:rsid w:val="480F343F"/>
    <w:rsid w:val="481928DE"/>
    <w:rsid w:val="481C57BF"/>
    <w:rsid w:val="48543E81"/>
    <w:rsid w:val="487B2377"/>
    <w:rsid w:val="498D6754"/>
    <w:rsid w:val="49AF7E30"/>
    <w:rsid w:val="49C468BA"/>
    <w:rsid w:val="49D40A5E"/>
    <w:rsid w:val="49D86B40"/>
    <w:rsid w:val="4AA272D0"/>
    <w:rsid w:val="4B115203"/>
    <w:rsid w:val="4B626B46"/>
    <w:rsid w:val="4B7B357D"/>
    <w:rsid w:val="4B88614F"/>
    <w:rsid w:val="4BAD5E69"/>
    <w:rsid w:val="4C3D24B7"/>
    <w:rsid w:val="4C4579F1"/>
    <w:rsid w:val="4C496D45"/>
    <w:rsid w:val="4C5D7A13"/>
    <w:rsid w:val="4C97144A"/>
    <w:rsid w:val="4D087FF5"/>
    <w:rsid w:val="4D29366C"/>
    <w:rsid w:val="4D6B2005"/>
    <w:rsid w:val="4DB12687"/>
    <w:rsid w:val="4DCB074C"/>
    <w:rsid w:val="4E994025"/>
    <w:rsid w:val="4EAD187E"/>
    <w:rsid w:val="4ECB74C9"/>
    <w:rsid w:val="4EF126E7"/>
    <w:rsid w:val="4EF4675C"/>
    <w:rsid w:val="4F232CFB"/>
    <w:rsid w:val="4F6D69C8"/>
    <w:rsid w:val="4FB269F7"/>
    <w:rsid w:val="50056C6A"/>
    <w:rsid w:val="50116943"/>
    <w:rsid w:val="502D7210"/>
    <w:rsid w:val="50661E01"/>
    <w:rsid w:val="50666188"/>
    <w:rsid w:val="508C2CF8"/>
    <w:rsid w:val="50AD36CD"/>
    <w:rsid w:val="512A365A"/>
    <w:rsid w:val="51A87CA8"/>
    <w:rsid w:val="51B67173"/>
    <w:rsid w:val="51BF27E4"/>
    <w:rsid w:val="51FFF854"/>
    <w:rsid w:val="52061C99"/>
    <w:rsid w:val="52177EB4"/>
    <w:rsid w:val="522248A6"/>
    <w:rsid w:val="526A01B2"/>
    <w:rsid w:val="52F13AF5"/>
    <w:rsid w:val="52F757BE"/>
    <w:rsid w:val="52FF262D"/>
    <w:rsid w:val="53DE4278"/>
    <w:rsid w:val="54C06FE8"/>
    <w:rsid w:val="54E82E29"/>
    <w:rsid w:val="55117F8F"/>
    <w:rsid w:val="554E48C6"/>
    <w:rsid w:val="55502435"/>
    <w:rsid w:val="555F747C"/>
    <w:rsid w:val="5579304D"/>
    <w:rsid w:val="55B776E1"/>
    <w:rsid w:val="55D27CA2"/>
    <w:rsid w:val="55DE23A3"/>
    <w:rsid w:val="55DF4A13"/>
    <w:rsid w:val="56415235"/>
    <w:rsid w:val="56AE125F"/>
    <w:rsid w:val="57144B90"/>
    <w:rsid w:val="5716197C"/>
    <w:rsid w:val="57620914"/>
    <w:rsid w:val="5778238D"/>
    <w:rsid w:val="57ED2A5F"/>
    <w:rsid w:val="581C4CE8"/>
    <w:rsid w:val="583544BA"/>
    <w:rsid w:val="58493F93"/>
    <w:rsid w:val="587846CD"/>
    <w:rsid w:val="58896EB8"/>
    <w:rsid w:val="58EE5411"/>
    <w:rsid w:val="58F018B2"/>
    <w:rsid w:val="594968B2"/>
    <w:rsid w:val="596A099C"/>
    <w:rsid w:val="59785F34"/>
    <w:rsid w:val="597F72FD"/>
    <w:rsid w:val="5980650D"/>
    <w:rsid w:val="599717C2"/>
    <w:rsid w:val="59FD35E1"/>
    <w:rsid w:val="5AED7BD2"/>
    <w:rsid w:val="5AF53CAE"/>
    <w:rsid w:val="5AFE3B8D"/>
    <w:rsid w:val="5B046047"/>
    <w:rsid w:val="5B4A5024"/>
    <w:rsid w:val="5C4010EC"/>
    <w:rsid w:val="5C5643EE"/>
    <w:rsid w:val="5C5E0C01"/>
    <w:rsid w:val="5C7E57E6"/>
    <w:rsid w:val="5CAC6D64"/>
    <w:rsid w:val="5D0B6E34"/>
    <w:rsid w:val="5D313AB8"/>
    <w:rsid w:val="5D7C0CDB"/>
    <w:rsid w:val="5D8431C1"/>
    <w:rsid w:val="5DAC329B"/>
    <w:rsid w:val="5DEA21A7"/>
    <w:rsid w:val="5E556B25"/>
    <w:rsid w:val="5E603823"/>
    <w:rsid w:val="5F04718E"/>
    <w:rsid w:val="5F5E628C"/>
    <w:rsid w:val="5F700DD2"/>
    <w:rsid w:val="600B5BB7"/>
    <w:rsid w:val="60103FDC"/>
    <w:rsid w:val="60130CD9"/>
    <w:rsid w:val="602E79EA"/>
    <w:rsid w:val="60362F6F"/>
    <w:rsid w:val="6040725F"/>
    <w:rsid w:val="604834F4"/>
    <w:rsid w:val="60561D75"/>
    <w:rsid w:val="60582FB7"/>
    <w:rsid w:val="60593614"/>
    <w:rsid w:val="60D7651B"/>
    <w:rsid w:val="610553CB"/>
    <w:rsid w:val="61064019"/>
    <w:rsid w:val="6154261D"/>
    <w:rsid w:val="6189617B"/>
    <w:rsid w:val="61DA4384"/>
    <w:rsid w:val="61F21F72"/>
    <w:rsid w:val="62127FD5"/>
    <w:rsid w:val="62320551"/>
    <w:rsid w:val="6236151B"/>
    <w:rsid w:val="626C5880"/>
    <w:rsid w:val="62934B04"/>
    <w:rsid w:val="62BF6B6B"/>
    <w:rsid w:val="63164350"/>
    <w:rsid w:val="636307D4"/>
    <w:rsid w:val="63BC2E24"/>
    <w:rsid w:val="63BF3F7A"/>
    <w:rsid w:val="641E3891"/>
    <w:rsid w:val="64462101"/>
    <w:rsid w:val="649D11DE"/>
    <w:rsid w:val="64B23E8E"/>
    <w:rsid w:val="650257AA"/>
    <w:rsid w:val="6517701C"/>
    <w:rsid w:val="654F233D"/>
    <w:rsid w:val="655C171F"/>
    <w:rsid w:val="6643413A"/>
    <w:rsid w:val="66863138"/>
    <w:rsid w:val="66A44B1B"/>
    <w:rsid w:val="66DE352F"/>
    <w:rsid w:val="66E4419D"/>
    <w:rsid w:val="675F1E8A"/>
    <w:rsid w:val="67746C30"/>
    <w:rsid w:val="6787627F"/>
    <w:rsid w:val="679528B0"/>
    <w:rsid w:val="67DB0DB2"/>
    <w:rsid w:val="68464DC5"/>
    <w:rsid w:val="695928D6"/>
    <w:rsid w:val="69D06E00"/>
    <w:rsid w:val="6A2A5C37"/>
    <w:rsid w:val="6A7C00A6"/>
    <w:rsid w:val="6A882F07"/>
    <w:rsid w:val="6AA55E66"/>
    <w:rsid w:val="6AB87A9C"/>
    <w:rsid w:val="6B286B57"/>
    <w:rsid w:val="6B2B5D1B"/>
    <w:rsid w:val="6B2D7B77"/>
    <w:rsid w:val="6B53CE01"/>
    <w:rsid w:val="6BE75B97"/>
    <w:rsid w:val="6C0A04BE"/>
    <w:rsid w:val="6C777315"/>
    <w:rsid w:val="6C88141A"/>
    <w:rsid w:val="6CA975D8"/>
    <w:rsid w:val="6CBC5C65"/>
    <w:rsid w:val="6D814D52"/>
    <w:rsid w:val="6D8D2B4F"/>
    <w:rsid w:val="6D922A64"/>
    <w:rsid w:val="6DEA4450"/>
    <w:rsid w:val="6E101CDB"/>
    <w:rsid w:val="6E1119D2"/>
    <w:rsid w:val="6E46141D"/>
    <w:rsid w:val="6E463A76"/>
    <w:rsid w:val="6E4B53E9"/>
    <w:rsid w:val="6E6D2D82"/>
    <w:rsid w:val="6E6F1A32"/>
    <w:rsid w:val="6EB201FA"/>
    <w:rsid w:val="6EC87D67"/>
    <w:rsid w:val="6ED325D4"/>
    <w:rsid w:val="6EFA5A72"/>
    <w:rsid w:val="6F0B6421"/>
    <w:rsid w:val="6F7044D6"/>
    <w:rsid w:val="6F8B2993"/>
    <w:rsid w:val="6FA1394C"/>
    <w:rsid w:val="6FF46638"/>
    <w:rsid w:val="6FFB527D"/>
    <w:rsid w:val="7022485A"/>
    <w:rsid w:val="703624F3"/>
    <w:rsid w:val="70441ACC"/>
    <w:rsid w:val="70701351"/>
    <w:rsid w:val="70855E5D"/>
    <w:rsid w:val="70F36C7B"/>
    <w:rsid w:val="71335D38"/>
    <w:rsid w:val="714B0C37"/>
    <w:rsid w:val="71C879C8"/>
    <w:rsid w:val="71D56068"/>
    <w:rsid w:val="721F7DBB"/>
    <w:rsid w:val="72454ED2"/>
    <w:rsid w:val="727D0044"/>
    <w:rsid w:val="728F453D"/>
    <w:rsid w:val="729E2F7F"/>
    <w:rsid w:val="732F1F7F"/>
    <w:rsid w:val="734029FC"/>
    <w:rsid w:val="73A541BD"/>
    <w:rsid w:val="73E002DB"/>
    <w:rsid w:val="73E77391"/>
    <w:rsid w:val="73E95740"/>
    <w:rsid w:val="744E76B7"/>
    <w:rsid w:val="74B969A2"/>
    <w:rsid w:val="74BB7E22"/>
    <w:rsid w:val="74F62B18"/>
    <w:rsid w:val="75510759"/>
    <w:rsid w:val="757A287A"/>
    <w:rsid w:val="757B4B70"/>
    <w:rsid w:val="759F264D"/>
    <w:rsid w:val="759F5244"/>
    <w:rsid w:val="75B02D9F"/>
    <w:rsid w:val="75B37797"/>
    <w:rsid w:val="764B7FD2"/>
    <w:rsid w:val="76665841"/>
    <w:rsid w:val="76A01AF8"/>
    <w:rsid w:val="76AF736A"/>
    <w:rsid w:val="76B26A44"/>
    <w:rsid w:val="77076E8E"/>
    <w:rsid w:val="770E1A9B"/>
    <w:rsid w:val="77244F23"/>
    <w:rsid w:val="774E212D"/>
    <w:rsid w:val="77860B42"/>
    <w:rsid w:val="779D131D"/>
    <w:rsid w:val="77DB9239"/>
    <w:rsid w:val="77F531F1"/>
    <w:rsid w:val="780336CE"/>
    <w:rsid w:val="780B3FB9"/>
    <w:rsid w:val="787272B8"/>
    <w:rsid w:val="78745037"/>
    <w:rsid w:val="79047712"/>
    <w:rsid w:val="794778C4"/>
    <w:rsid w:val="795F7A95"/>
    <w:rsid w:val="798F2CE9"/>
    <w:rsid w:val="799A0ACD"/>
    <w:rsid w:val="79A8143C"/>
    <w:rsid w:val="7A011C13"/>
    <w:rsid w:val="7A3031E0"/>
    <w:rsid w:val="7AB931D5"/>
    <w:rsid w:val="7ADF7265"/>
    <w:rsid w:val="7AE51A79"/>
    <w:rsid w:val="7AEB49B2"/>
    <w:rsid w:val="7B932FDF"/>
    <w:rsid w:val="7BA201F0"/>
    <w:rsid w:val="7BBE7F40"/>
    <w:rsid w:val="7BBF7B95"/>
    <w:rsid w:val="7BD877C3"/>
    <w:rsid w:val="7BDC08DB"/>
    <w:rsid w:val="7BFF4DDA"/>
    <w:rsid w:val="7C211BE0"/>
    <w:rsid w:val="7C441EB6"/>
    <w:rsid w:val="7C523106"/>
    <w:rsid w:val="7C7158F2"/>
    <w:rsid w:val="7CC456B7"/>
    <w:rsid w:val="7D1344B1"/>
    <w:rsid w:val="7D134CFF"/>
    <w:rsid w:val="7D134E51"/>
    <w:rsid w:val="7D4548E3"/>
    <w:rsid w:val="7D5B120F"/>
    <w:rsid w:val="7D67523E"/>
    <w:rsid w:val="7D6C1C3C"/>
    <w:rsid w:val="7DE4764E"/>
    <w:rsid w:val="7DE7465B"/>
    <w:rsid w:val="7DFF1F6B"/>
    <w:rsid w:val="7E0544B8"/>
    <w:rsid w:val="7E982276"/>
    <w:rsid w:val="7F2232BE"/>
    <w:rsid w:val="7F33213B"/>
    <w:rsid w:val="7F3514FE"/>
    <w:rsid w:val="7F3F12BA"/>
    <w:rsid w:val="7F961D37"/>
    <w:rsid w:val="7FAFFA15"/>
    <w:rsid w:val="7FC91F6F"/>
    <w:rsid w:val="7FE56D6D"/>
    <w:rsid w:val="7FE9B7F7"/>
    <w:rsid w:val="7FF9727E"/>
    <w:rsid w:val="BADF6A18"/>
    <w:rsid w:val="BBFB04B2"/>
    <w:rsid w:val="BEEF48B6"/>
    <w:rsid w:val="BFAD937B"/>
    <w:rsid w:val="BFBE2060"/>
    <w:rsid w:val="C7FF0763"/>
    <w:rsid w:val="EDBD569F"/>
    <w:rsid w:val="EFDF5F1E"/>
    <w:rsid w:val="F7EACB30"/>
    <w:rsid w:val="F7EC81EE"/>
    <w:rsid w:val="FBD33526"/>
    <w:rsid w:val="FDFF9003"/>
    <w:rsid w:val="FEDE15CC"/>
    <w:rsid w:val="FF7E283D"/>
    <w:rsid w:val="FF7F3159"/>
    <w:rsid w:val="FFDB88EA"/>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仿宋_GB2312" w:hAnsi="仿宋_GB2312" w:eastAsia="仿宋_GB2312" w:cstheme="minorBidi"/>
      <w:kern w:val="2"/>
      <w:sz w:val="24"/>
      <w:szCs w:val="22"/>
      <w:lang w:val="en-US" w:eastAsia="zh-CN" w:bidi="ar-SA"/>
    </w:rPr>
  </w:style>
  <w:style w:type="paragraph" w:styleId="2">
    <w:name w:val="heading 1"/>
    <w:basedOn w:val="1"/>
    <w:next w:val="1"/>
    <w:qFormat/>
    <w:uiPriority w:val="9"/>
    <w:pPr>
      <w:keepNext/>
      <w:keepLines/>
      <w:numPr>
        <w:ilvl w:val="0"/>
        <w:numId w:val="1"/>
      </w:numPr>
      <w:spacing w:before="120" w:after="120" w:line="400" w:lineRule="exact"/>
      <w:jc w:val="left"/>
      <w:outlineLvl w:val="0"/>
    </w:pPr>
    <w:rPr>
      <w:rFonts w:ascii="Times New Roman" w:hAnsi="Times New Roman"/>
      <w:b/>
      <w:bCs/>
      <w:kern w:val="44"/>
      <w:sz w:val="28"/>
    </w:rPr>
  </w:style>
  <w:style w:type="paragraph" w:styleId="3">
    <w:name w:val="heading 4"/>
    <w:basedOn w:val="1"/>
    <w:next w:val="1"/>
    <w:semiHidden/>
    <w:unhideWhenUsed/>
    <w:qFormat/>
    <w:uiPriority w:val="9"/>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8">
    <w:name w:val="Default Paragraph Font"/>
    <w:semiHidden/>
    <w:unhideWhenUsed/>
    <w:qFormat/>
    <w:uiPriority w:val="1"/>
  </w:style>
  <w:style w:type="table" w:default="1" w:styleId="16">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4">
    <w:name w:val="Normal Indent"/>
    <w:basedOn w:val="1"/>
    <w:unhideWhenUsed/>
    <w:qFormat/>
    <w:uiPriority w:val="99"/>
    <w:pPr>
      <w:ind w:firstLine="420" w:firstLineChars="200"/>
    </w:pPr>
  </w:style>
  <w:style w:type="paragraph" w:styleId="5">
    <w:name w:val="annotation text"/>
    <w:basedOn w:val="1"/>
    <w:link w:val="30"/>
    <w:unhideWhenUsed/>
    <w:qFormat/>
    <w:uiPriority w:val="99"/>
    <w:pPr>
      <w:jc w:val="left"/>
    </w:pPr>
  </w:style>
  <w:style w:type="paragraph" w:styleId="6">
    <w:name w:val="Body Text"/>
    <w:basedOn w:val="1"/>
    <w:qFormat/>
    <w:uiPriority w:val="0"/>
    <w:pPr>
      <w:spacing w:before="180" w:after="180"/>
    </w:pPr>
  </w:style>
  <w:style w:type="paragraph" w:styleId="7">
    <w:name w:val="Body Text Indent"/>
    <w:basedOn w:val="1"/>
    <w:qFormat/>
    <w:uiPriority w:val="0"/>
    <w:pPr>
      <w:spacing w:line="460" w:lineRule="atLeast"/>
      <w:ind w:firstLine="552"/>
    </w:pPr>
    <w:rPr>
      <w:spacing w:val="-2"/>
    </w:rPr>
  </w:style>
  <w:style w:type="paragraph" w:styleId="8">
    <w:name w:val="Date"/>
    <w:basedOn w:val="1"/>
    <w:next w:val="1"/>
    <w:link w:val="21"/>
    <w:unhideWhenUsed/>
    <w:qFormat/>
    <w:uiPriority w:val="99"/>
    <w:pPr>
      <w:ind w:left="100" w:leftChars="2500"/>
    </w:pPr>
  </w:style>
  <w:style w:type="paragraph" w:styleId="9">
    <w:name w:val="Balloon Text"/>
    <w:basedOn w:val="1"/>
    <w:link w:val="24"/>
    <w:unhideWhenUsed/>
    <w:qFormat/>
    <w:uiPriority w:val="99"/>
    <w:rPr>
      <w:sz w:val="18"/>
      <w:szCs w:val="18"/>
    </w:rPr>
  </w:style>
  <w:style w:type="paragraph" w:styleId="10">
    <w:name w:val="footer"/>
    <w:basedOn w:val="1"/>
    <w:link w:val="23"/>
    <w:unhideWhenUsed/>
    <w:qFormat/>
    <w:uiPriority w:val="99"/>
    <w:pPr>
      <w:tabs>
        <w:tab w:val="center" w:pos="4153"/>
        <w:tab w:val="right" w:pos="8306"/>
      </w:tabs>
      <w:snapToGrid w:val="0"/>
      <w:jc w:val="left"/>
    </w:pPr>
    <w:rPr>
      <w:sz w:val="18"/>
      <w:szCs w:val="18"/>
    </w:rPr>
  </w:style>
  <w:style w:type="paragraph" w:styleId="11">
    <w:name w:val="header"/>
    <w:basedOn w:val="1"/>
    <w:link w:val="22"/>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Cs w:val="24"/>
    </w:rPr>
  </w:style>
  <w:style w:type="paragraph" w:styleId="14">
    <w:name w:val="annotation subject"/>
    <w:basedOn w:val="5"/>
    <w:next w:val="5"/>
    <w:link w:val="31"/>
    <w:unhideWhenUsed/>
    <w:qFormat/>
    <w:uiPriority w:val="99"/>
    <w:rPr>
      <w:b/>
      <w:bCs/>
    </w:rPr>
  </w:style>
  <w:style w:type="paragraph" w:styleId="15">
    <w:name w:val="Body Text First Indent 2"/>
    <w:basedOn w:val="7"/>
    <w:qFormat/>
    <w:uiPriority w:val="0"/>
    <w:pPr>
      <w:spacing w:after="120" w:line="240" w:lineRule="auto"/>
      <w:ind w:left="420" w:leftChars="200" w:firstLine="420" w:firstLineChars="200"/>
    </w:pPr>
    <w:rPr>
      <w:spacing w:val="0"/>
      <w:sz w:val="21"/>
      <w:szCs w:val="2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000FF" w:themeColor="hyperlink"/>
      <w:u w:val="single"/>
      <w14:textFill>
        <w14:solidFill>
          <w14:schemeClr w14:val="hlink"/>
        </w14:solidFill>
      </w14:textFill>
    </w:rPr>
  </w:style>
  <w:style w:type="character" w:styleId="20">
    <w:name w:val="annotation reference"/>
    <w:basedOn w:val="18"/>
    <w:unhideWhenUsed/>
    <w:qFormat/>
    <w:uiPriority w:val="99"/>
    <w:rPr>
      <w:sz w:val="21"/>
      <w:szCs w:val="21"/>
    </w:rPr>
  </w:style>
  <w:style w:type="character" w:customStyle="1" w:styleId="21">
    <w:name w:val="日期 Char"/>
    <w:basedOn w:val="18"/>
    <w:link w:val="8"/>
    <w:semiHidden/>
    <w:qFormat/>
    <w:uiPriority w:val="99"/>
  </w:style>
  <w:style w:type="character" w:customStyle="1" w:styleId="22">
    <w:name w:val="页眉 Char"/>
    <w:basedOn w:val="18"/>
    <w:link w:val="11"/>
    <w:qFormat/>
    <w:uiPriority w:val="99"/>
    <w:rPr>
      <w:sz w:val="18"/>
      <w:szCs w:val="18"/>
    </w:rPr>
  </w:style>
  <w:style w:type="character" w:customStyle="1" w:styleId="23">
    <w:name w:val="页脚 Char"/>
    <w:basedOn w:val="18"/>
    <w:link w:val="10"/>
    <w:qFormat/>
    <w:uiPriority w:val="99"/>
    <w:rPr>
      <w:sz w:val="18"/>
      <w:szCs w:val="18"/>
    </w:rPr>
  </w:style>
  <w:style w:type="character" w:customStyle="1" w:styleId="24">
    <w:name w:val="批注框文本 Char"/>
    <w:basedOn w:val="18"/>
    <w:link w:val="9"/>
    <w:semiHidden/>
    <w:qFormat/>
    <w:uiPriority w:val="99"/>
    <w:rPr>
      <w:sz w:val="18"/>
      <w:szCs w:val="18"/>
    </w:rPr>
  </w:style>
  <w:style w:type="paragraph" w:customStyle="1" w:styleId="25">
    <w:name w:val="列表段落1"/>
    <w:basedOn w:val="1"/>
    <w:link w:val="29"/>
    <w:qFormat/>
    <w:uiPriority w:val="34"/>
    <w:pPr>
      <w:ind w:firstLine="420" w:firstLineChars="200"/>
    </w:pPr>
  </w:style>
  <w:style w:type="paragraph" w:customStyle="1" w:styleId="26">
    <w:name w:val="reader-word-layer"/>
    <w:basedOn w:val="1"/>
    <w:qFormat/>
    <w:uiPriority w:val="0"/>
    <w:pPr>
      <w:widowControl/>
      <w:spacing w:before="100" w:beforeAutospacing="1" w:after="100" w:afterAutospacing="1"/>
      <w:jc w:val="left"/>
    </w:pPr>
    <w:rPr>
      <w:rFonts w:ascii="宋体" w:hAnsi="宋体" w:eastAsia="宋体" w:cs="宋体"/>
      <w:kern w:val="0"/>
      <w:szCs w:val="24"/>
    </w:rPr>
  </w:style>
  <w:style w:type="paragraph" w:customStyle="1" w:styleId="27">
    <w:name w:val="[基本段落]"/>
    <w:basedOn w:val="1"/>
    <w:qFormat/>
    <w:uiPriority w:val="99"/>
    <w:pPr>
      <w:autoSpaceDE w:val="0"/>
      <w:autoSpaceDN w:val="0"/>
      <w:adjustRightInd w:val="0"/>
      <w:spacing w:line="288" w:lineRule="auto"/>
      <w:textAlignment w:val="center"/>
    </w:pPr>
    <w:rPr>
      <w:rFonts w:ascii="宋体" w:eastAsia="宋体" w:cs="宋体"/>
      <w:color w:val="000000"/>
      <w:kern w:val="0"/>
      <w:szCs w:val="24"/>
      <w:lang w:val="zh-CN"/>
    </w:rPr>
  </w:style>
  <w:style w:type="paragraph" w:customStyle="1" w:styleId="28">
    <w:name w:val="列出段落1"/>
    <w:basedOn w:val="1"/>
    <w:qFormat/>
    <w:uiPriority w:val="34"/>
    <w:pPr>
      <w:ind w:firstLine="420" w:firstLineChars="200"/>
    </w:pPr>
    <w:rPr>
      <w:rFonts w:ascii="Times New Roman" w:hAnsi="Times New Roman" w:eastAsia="宋体" w:cs="Times New Roman"/>
      <w:szCs w:val="24"/>
    </w:rPr>
  </w:style>
  <w:style w:type="character" w:customStyle="1" w:styleId="29">
    <w:name w:val="列出段落 Char"/>
    <w:basedOn w:val="18"/>
    <w:link w:val="25"/>
    <w:qFormat/>
    <w:uiPriority w:val="0"/>
  </w:style>
  <w:style w:type="character" w:customStyle="1" w:styleId="30">
    <w:name w:val="批注文字 Char"/>
    <w:basedOn w:val="18"/>
    <w:link w:val="5"/>
    <w:semiHidden/>
    <w:qFormat/>
    <w:uiPriority w:val="99"/>
    <w:rPr>
      <w:kern w:val="2"/>
      <w:sz w:val="21"/>
      <w:szCs w:val="22"/>
    </w:rPr>
  </w:style>
  <w:style w:type="character" w:customStyle="1" w:styleId="31">
    <w:name w:val="批注主题 Char"/>
    <w:basedOn w:val="30"/>
    <w:link w:val="14"/>
    <w:semiHidden/>
    <w:qFormat/>
    <w:uiPriority w:val="99"/>
    <w:rPr>
      <w:b/>
      <w:bCs/>
      <w:kern w:val="2"/>
      <w:sz w:val="21"/>
      <w:szCs w:val="22"/>
    </w:rPr>
  </w:style>
  <w:style w:type="character" w:customStyle="1" w:styleId="32">
    <w:name w:val="fontstyle01"/>
    <w:basedOn w:val="18"/>
    <w:qFormat/>
    <w:uiPriority w:val="0"/>
    <w:rPr>
      <w:rFonts w:hint="eastAsia" w:ascii="宋体" w:hAnsi="宋体" w:eastAsia="宋体"/>
      <w:color w:val="000000"/>
      <w:sz w:val="20"/>
      <w:szCs w:val="20"/>
    </w:rPr>
  </w:style>
  <w:style w:type="character" w:customStyle="1" w:styleId="33">
    <w:name w:val="fontstyle21"/>
    <w:basedOn w:val="18"/>
    <w:qFormat/>
    <w:uiPriority w:val="0"/>
    <w:rPr>
      <w:rFonts w:hint="default" w:ascii="Times New Roman" w:hAnsi="Times New Roman" w:cs="Times New Roman"/>
      <w:color w:val="000000"/>
      <w:sz w:val="22"/>
      <w:szCs w:val="22"/>
    </w:rPr>
  </w:style>
  <w:style w:type="character" w:customStyle="1" w:styleId="34">
    <w:name w:val="fontstyle11"/>
    <w:basedOn w:val="18"/>
    <w:qFormat/>
    <w:uiPriority w:val="0"/>
    <w:rPr>
      <w:rFonts w:hint="eastAsia" w:ascii="宋体" w:hAnsi="宋体" w:eastAsia="宋体"/>
      <w:color w:val="000000"/>
      <w:sz w:val="22"/>
      <w:szCs w:val="22"/>
    </w:rPr>
  </w:style>
  <w:style w:type="paragraph" w:styleId="35">
    <w:name w:val="List Paragraph"/>
    <w:basedOn w:val="1"/>
    <w:qFormat/>
    <w:uiPriority w:val="34"/>
    <w:pPr>
      <w:ind w:firstLine="420" w:firstLineChars="200"/>
    </w:pPr>
  </w:style>
  <w:style w:type="paragraph" w:customStyle="1" w:styleId="36">
    <w:name w:val="WPSOffice手动目录 1"/>
    <w:qFormat/>
    <w:uiPriority w:val="0"/>
    <w:rPr>
      <w:rFonts w:ascii="Times New Roman" w:hAnsi="Times New Roman" w:eastAsia="宋体" w:cs="Times New Roman"/>
      <w:lang w:val="en-US" w:eastAsia="zh-CN" w:bidi="ar-SA"/>
    </w:rPr>
  </w:style>
  <w:style w:type="paragraph" w:customStyle="1" w:styleId="37">
    <w:name w:val="1"/>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Sky123.Org</Company>
  <Pages>13</Pages>
  <Words>5990</Words>
  <Characters>6385</Characters>
  <Lines>150</Lines>
  <Paragraphs>42</Paragraphs>
  <TotalTime>4</TotalTime>
  <ScaleCrop>false</ScaleCrop>
  <LinksUpToDate>false</LinksUpToDate>
  <CharactersWithSpaces>6438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2018-02-09T03:24:00Z</dcterms:created>
  <dc:creator>邓卜睿</dc:creator>
  <cp:lastModifiedBy>王晓慧</cp:lastModifiedBy>
  <cp:lastPrinted>2021-11-08T14:53:00Z</cp:lastPrinted>
  <dcterms:modified xsi:type="dcterms:W3CDTF">2026-09-18T06:51:22Z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CCFA22C2F69A4737991B2AA673D51701_13</vt:lpwstr>
  </property>
  <property fmtid="{D5CDD505-2E9C-101B-9397-08002B2CF9AE}" pid="4" name="KSOTemplateDocerSaveRecord">
    <vt:lpwstr>eyJoZGlkIjoiMmIzMzc4N2Q2NjYxNDc1OWU4YTgxNjY0ODk2MjIyYWQiLCJ1c2VySWQiOiIxNjU3MTA0MjI5In0=</vt:lpwstr>
  </property>
</Properties>
</file>