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823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lang w:val="en-US" w:eastAsia="zh-CN"/>
        </w:rPr>
      </w:pPr>
      <w:bookmarkStart w:id="0" w:name="_GoBack"/>
      <w:bookmarkEnd w:id="0"/>
    </w:p>
    <w:p w14:paraId="6B2945C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消防安全评估</w:t>
      </w:r>
      <w:r>
        <w:rPr>
          <w:rFonts w:hint="eastAsia" w:ascii="方正小标宋简体" w:hAnsi="方正小标宋简体" w:eastAsia="方正小标宋简体" w:cs="方正小标宋简体"/>
          <w:sz w:val="44"/>
          <w:szCs w:val="44"/>
        </w:rPr>
        <w:t xml:space="preserve">合同 </w:t>
      </w:r>
    </w:p>
    <w:p w14:paraId="7D2CD0D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14:paraId="09C6AFB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14:paraId="264E1B9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：海口市恒盈物业管理服务有限公司</w:t>
      </w:r>
      <w:r>
        <w:rPr>
          <w:rFonts w:hint="eastAsia" w:ascii="仿宋_GB2312" w:hAnsi="仿宋_GB2312" w:eastAsia="仿宋_GB2312" w:cs="仿宋_GB2312"/>
          <w:sz w:val="32"/>
          <w:szCs w:val="32"/>
          <w:lang w:val="en-US" w:eastAsia="zh-CN"/>
        </w:rPr>
        <w:t xml:space="preserve"> </w:t>
      </w:r>
    </w:p>
    <w:p w14:paraId="43BE7DE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w:t>
      </w:r>
    </w:p>
    <w:p w14:paraId="12E88B6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14:paraId="74933A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w:t>
      </w:r>
      <w:r>
        <w:rPr>
          <w:rFonts w:hint="eastAsia" w:ascii="仿宋_GB2312" w:hAnsi="仿宋_GB2312" w:eastAsia="仿宋_GB2312" w:cs="仿宋_GB2312"/>
          <w:sz w:val="32"/>
          <w:szCs w:val="32"/>
          <w:lang w:val="en-US" w:eastAsia="zh-Hans"/>
        </w:rPr>
        <w:t>民法典</w:t>
      </w:r>
      <w:r>
        <w:rPr>
          <w:rFonts w:hint="eastAsia" w:ascii="仿宋_GB2312" w:hAnsi="仿宋_GB2312" w:eastAsia="仿宋_GB2312" w:cs="仿宋_GB2312"/>
          <w:sz w:val="32"/>
          <w:szCs w:val="32"/>
        </w:rPr>
        <w:t>》及其他有关法律、行政法规，遵循平等、自愿、公平和诚实信用的原则，双方就</w:t>
      </w:r>
      <w:r>
        <w:rPr>
          <w:rFonts w:hint="eastAsia" w:ascii="仿宋_GB2312" w:hAnsi="仿宋_GB2312" w:eastAsia="仿宋_GB2312" w:cs="仿宋_GB2312"/>
          <w:sz w:val="32"/>
          <w:szCs w:val="32"/>
          <w:u w:val="single"/>
          <w:lang w:val="en-US" w:eastAsia="zh-CN"/>
        </w:rPr>
        <w:t>海师、琼台宿舍楼消防安全评估</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rPr>
        <w:t>协商一致，订立本合同。</w:t>
      </w:r>
    </w:p>
    <w:p w14:paraId="3F11FB5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kern w:val="0"/>
          <w:sz w:val="32"/>
          <w:szCs w:val="32"/>
          <w:lang w:val="en-US" w:eastAsia="zh-CN" w:bidi="ar-SA"/>
        </w:rPr>
      </w:pPr>
      <w:r>
        <w:rPr>
          <w:rFonts w:hint="eastAsia" w:ascii="黑体" w:hAnsi="黑体" w:eastAsia="黑体" w:cs="黑体"/>
          <w:snapToGrid/>
          <w:kern w:val="0"/>
          <w:sz w:val="32"/>
          <w:szCs w:val="32"/>
          <w:lang w:val="en-US" w:eastAsia="zh-CN" w:bidi="ar-SA"/>
        </w:rPr>
        <w:t>项目名称：</w:t>
      </w:r>
      <w:r>
        <w:rPr>
          <w:rFonts w:hint="eastAsia" w:ascii="仿宋_GB2312" w:hAnsi="仿宋_GB2312" w:eastAsia="仿宋_GB2312" w:cs="仿宋_GB2312"/>
          <w:snapToGrid w:val="0"/>
          <w:kern w:val="0"/>
          <w:sz w:val="32"/>
          <w:szCs w:val="32"/>
          <w:lang w:val="en-US" w:eastAsia="zh-CN" w:bidi="ar-SA"/>
        </w:rPr>
        <w:t>海师、琼台宿舍楼消防安全评估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commentReference w:id="0"/>
      </w:r>
    </w:p>
    <w:p w14:paraId="7839ACA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kern w:val="0"/>
          <w:sz w:val="32"/>
          <w:szCs w:val="32"/>
          <w:lang w:val="en-US" w:eastAsia="zh-CN" w:bidi="ar-SA"/>
        </w:rPr>
      </w:pPr>
      <w:r>
        <w:rPr>
          <w:rFonts w:hint="eastAsia" w:ascii="黑体" w:hAnsi="黑体" w:eastAsia="黑体" w:cs="黑体"/>
          <w:snapToGrid/>
          <w:kern w:val="0"/>
          <w:sz w:val="32"/>
          <w:szCs w:val="32"/>
          <w:lang w:val="en-US" w:eastAsia="zh-CN" w:bidi="ar-SA"/>
        </w:rPr>
        <w:t>评估内容及要求：</w:t>
      </w:r>
    </w:p>
    <w:p w14:paraId="028A0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1.乙方应根据</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提供的资料及要求进行消防安全评估并出具消防安全评估报告。</w:t>
      </w:r>
    </w:p>
    <w:p w14:paraId="3A74BF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乙方严格按国家有关行业标准、法律规定，参照</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消防技术规范、评估规程、标准</w:t>
      </w:r>
      <w:r>
        <w:rPr>
          <w:rFonts w:hint="eastAsia" w:ascii="仿宋_GB2312" w:hAnsi="仿宋_GB2312" w:eastAsia="仿宋_GB2312" w:cs="仿宋_GB2312"/>
          <w:sz w:val="32"/>
          <w:szCs w:val="32"/>
          <w:lang w:val="en-US" w:eastAsia="zh-CN"/>
        </w:rPr>
        <w:t>对评估项目建筑物</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消防安全</w:t>
      </w:r>
      <w:r>
        <w:rPr>
          <w:rFonts w:hint="eastAsia" w:ascii="仿宋_GB2312" w:hAnsi="仿宋_GB2312" w:eastAsia="仿宋_GB2312" w:cs="仿宋_GB2312"/>
          <w:sz w:val="32"/>
          <w:szCs w:val="32"/>
        </w:rPr>
        <w:t>评估，结论公正、科学、准确、规范。</w:t>
      </w:r>
    </w:p>
    <w:p w14:paraId="7615B5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乙方应依据消防法律法规、技术规范进行整体</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lang w:val="en-US" w:eastAsia="zh-CN"/>
        </w:rPr>
        <w:t>估</w:t>
      </w:r>
      <w:r>
        <w:rPr>
          <w:rFonts w:hint="eastAsia" w:ascii="仿宋_GB2312" w:hAnsi="仿宋_GB2312" w:eastAsia="仿宋_GB2312" w:cs="仿宋_GB2312"/>
          <w:sz w:val="32"/>
          <w:szCs w:val="32"/>
          <w:lang w:eastAsia="zh-CN"/>
        </w:rPr>
        <w:t>。</w:t>
      </w:r>
    </w:p>
    <w:p w14:paraId="1C14F7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4.乙方提交的评估报告须由桂林洋管委会复函合格；如报告存在重大技术缺陷或结论失实，乙方应在收到书面通知后3个工作日内无偿修正并重新提交。</w:t>
      </w:r>
    </w:p>
    <w:p w14:paraId="1F5C57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eastAsia="宋体"/>
          <w:lang w:eastAsia="zh-CN"/>
        </w:rPr>
      </w:pPr>
      <w:r>
        <w:rPr>
          <w:rFonts w:hint="eastAsia" w:ascii="仿宋_GB2312" w:hAnsi="仿宋_GB2312" w:eastAsia="仿宋_GB2312" w:cs="仿宋_GB2312"/>
          <w:sz w:val="32"/>
          <w:szCs w:val="32"/>
          <w:lang w:val="en-US" w:eastAsia="zh-CN"/>
        </w:rPr>
        <w:t xml:space="preserve">5.完成现场评估工作并出具一式【2】份正式的评估报告，若遇特殊情况，则由甲方进行确定。 </w:t>
      </w:r>
    </w:p>
    <w:p w14:paraId="22BFF6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三、项目地点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海南师范大学、琼台师范学院</w:t>
      </w:r>
    </w:p>
    <w:p w14:paraId="4F9795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服务工期</w:t>
      </w:r>
      <w:r>
        <w:rPr>
          <w:rFonts w:hint="eastAsia" w:ascii="黑体" w:hAnsi="黑体" w:eastAsia="黑体" w:cs="黑体"/>
          <w:sz w:val="32"/>
          <w:szCs w:val="32"/>
        </w:rPr>
        <w:t>：</w:t>
      </w:r>
      <w:r>
        <w:rPr>
          <w:rFonts w:hint="eastAsia" w:ascii="仿宋_GB2312" w:hAnsi="仿宋_GB2312" w:eastAsia="仿宋_GB2312" w:cs="仿宋_GB2312"/>
          <w:sz w:val="32"/>
          <w:szCs w:val="32"/>
          <w:lang w:val="en-US" w:eastAsia="zh-CN"/>
        </w:rPr>
        <w:t>合同签订之日起20日历天。</w:t>
      </w:r>
    </w:p>
    <w:p w14:paraId="187318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val="en-US" w:eastAsia="zh-CN"/>
        </w:rPr>
        <w:t>合同</w:t>
      </w:r>
      <w:r>
        <w:rPr>
          <w:rFonts w:hint="eastAsia" w:ascii="黑体" w:hAnsi="黑体" w:eastAsia="黑体" w:cs="黑体"/>
          <w:sz w:val="32"/>
          <w:szCs w:val="32"/>
        </w:rPr>
        <w:t>价款：</w:t>
      </w:r>
    </w:p>
    <w:p w14:paraId="32D41FC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含税暂定</w:t>
      </w:r>
      <w:r>
        <w:rPr>
          <w:rFonts w:hint="eastAsia" w:ascii="仿宋_GB2312" w:hAnsi="仿宋_GB2312" w:eastAsia="仿宋_GB2312" w:cs="仿宋_GB2312"/>
          <w:sz w:val="32"/>
          <w:szCs w:val="32"/>
        </w:rPr>
        <w:t>总价（大写）人民币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]（￥0000.00），不含税</w:t>
      </w:r>
      <w:r>
        <w:rPr>
          <w:rFonts w:hint="eastAsia" w:ascii="仿宋_GB2312" w:hAnsi="仿宋_GB2312" w:eastAsia="仿宋_GB2312" w:cs="仿宋_GB2312"/>
          <w:color w:val="auto"/>
          <w:sz w:val="32"/>
          <w:szCs w:val="32"/>
          <w:lang w:val="en-US" w:eastAsia="zh-CN"/>
        </w:rPr>
        <w:t>暂定总价</w:t>
      </w:r>
      <w:r>
        <w:rPr>
          <w:rFonts w:hint="eastAsia" w:ascii="仿宋_GB2312" w:hAnsi="仿宋_GB2312" w:eastAsia="仿宋_GB2312" w:cs="仿宋_GB2312"/>
          <w:color w:val="auto"/>
          <w:sz w:val="32"/>
          <w:szCs w:val="32"/>
        </w:rPr>
        <w:t>（大写）人民币[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，税</w:t>
      </w:r>
      <w:r>
        <w:rPr>
          <w:rFonts w:hint="eastAsia" w:ascii="仿宋_GB2312" w:hAnsi="仿宋_GB2312" w:eastAsia="仿宋_GB2312" w:cs="仿宋_GB2312"/>
          <w:sz w:val="32"/>
          <w:szCs w:val="32"/>
        </w:rPr>
        <w:t>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该费用</w:t>
      </w:r>
      <w:r>
        <w:rPr>
          <w:rFonts w:hint="eastAsia" w:ascii="仿宋_GB2312" w:hAnsi="仿宋_GB2312" w:eastAsia="仿宋_GB2312" w:cs="仿宋_GB2312"/>
          <w:b w:val="0"/>
          <w:bCs w:val="0"/>
          <w:sz w:val="32"/>
          <w:szCs w:val="32"/>
          <w:lang w:eastAsia="zh-CN"/>
        </w:rPr>
        <w:t>包括人工费、差旅费、交通费、伙食费等因本次服务产生的所有费用，除本合同约定费用外，</w:t>
      </w:r>
      <w:r>
        <w:rPr>
          <w:rFonts w:hint="eastAsia" w:ascii="仿宋_GB2312" w:hAnsi="仿宋_GB2312" w:eastAsia="仿宋_GB2312" w:cs="仿宋_GB2312"/>
          <w:b w:val="0"/>
          <w:bCs w:val="0"/>
          <w:sz w:val="32"/>
          <w:szCs w:val="32"/>
          <w:lang w:val="en-US" w:eastAsia="zh-CN"/>
        </w:rPr>
        <w:t>甲方</w:t>
      </w:r>
      <w:r>
        <w:rPr>
          <w:rFonts w:hint="eastAsia" w:ascii="仿宋_GB2312" w:hAnsi="仿宋_GB2312" w:eastAsia="仿宋_GB2312" w:cs="仿宋_GB2312"/>
          <w:b w:val="0"/>
          <w:bCs w:val="0"/>
          <w:sz w:val="32"/>
          <w:szCs w:val="32"/>
          <w:lang w:eastAsia="zh-CN"/>
        </w:rPr>
        <w:t>无需再向</w:t>
      </w:r>
      <w:r>
        <w:rPr>
          <w:rFonts w:hint="eastAsia" w:ascii="仿宋_GB2312" w:hAnsi="仿宋_GB2312" w:eastAsia="仿宋_GB2312" w:cs="仿宋_GB2312"/>
          <w:b w:val="0"/>
          <w:bCs w:val="0"/>
          <w:sz w:val="32"/>
          <w:szCs w:val="32"/>
          <w:lang w:val="en-US" w:eastAsia="zh-CN"/>
        </w:rPr>
        <w:t>乙方</w:t>
      </w:r>
      <w:r>
        <w:rPr>
          <w:rFonts w:hint="eastAsia" w:ascii="仿宋_GB2312" w:hAnsi="仿宋_GB2312" w:eastAsia="仿宋_GB2312" w:cs="仿宋_GB2312"/>
          <w:b w:val="0"/>
          <w:bCs w:val="0"/>
          <w:sz w:val="32"/>
          <w:szCs w:val="32"/>
          <w:lang w:eastAsia="zh-CN"/>
        </w:rPr>
        <w:t>支付任何费用。</w:t>
      </w:r>
    </w:p>
    <w:p w14:paraId="0ABB83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rPr>
      </w:pPr>
      <w:r>
        <w:rPr>
          <w:rFonts w:hint="eastAsia" w:ascii="黑体" w:hAnsi="黑体" w:eastAsia="黑体" w:cs="黑体"/>
          <w:sz w:val="32"/>
          <w:szCs w:val="32"/>
        </w:rPr>
        <w:t>六、</w:t>
      </w:r>
      <w:r>
        <w:rPr>
          <w:rFonts w:hint="eastAsia" w:ascii="黑体" w:hAnsi="黑体" w:eastAsia="黑体" w:cs="黑体"/>
          <w:sz w:val="32"/>
          <w:szCs w:val="32"/>
          <w:lang w:val="en-US" w:eastAsia="zh-CN"/>
        </w:rPr>
        <w:t>结算</w:t>
      </w:r>
      <w:r>
        <w:rPr>
          <w:rFonts w:hint="eastAsia" w:ascii="黑体" w:hAnsi="黑体" w:eastAsia="黑体" w:cs="黑体"/>
          <w:sz w:val="32"/>
          <w:szCs w:val="32"/>
        </w:rPr>
        <w:t>方式</w:t>
      </w:r>
      <w:r>
        <w:rPr>
          <w:rFonts w:hint="eastAsia" w:ascii="仿宋_GB2312" w:hAnsi="仿宋_GB2312" w:eastAsia="仿宋_GB2312" w:cs="仿宋_GB2312"/>
          <w:sz w:val="32"/>
          <w:szCs w:val="32"/>
        </w:rPr>
        <w:t>：</w:t>
      </w:r>
    </w:p>
    <w:p w14:paraId="6A176305">
      <w:pPr>
        <w:keepNext w:val="0"/>
        <w:keepLines w:val="0"/>
        <w:pageBreakBefore w:val="0"/>
        <w:kinsoku w:val="0"/>
        <w:wordWrap/>
        <w:overflowPunct/>
        <w:topLinePunct w:val="0"/>
        <w:autoSpaceDE w:val="0"/>
        <w:autoSpaceDN w:val="0"/>
        <w:bidi w:val="0"/>
        <w:adjustRightInd/>
        <w:snapToGrid w:val="0"/>
        <w:spacing w:beforeLines="0" w:afterLines="0" w:line="560" w:lineRule="exact"/>
        <w:ind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1.本项目采用固定</w:t>
      </w:r>
      <w:commentRangeStart w:id="1"/>
      <w:r>
        <w:rPr>
          <w:rFonts w:hint="eastAsia" w:ascii="仿宋_GB2312" w:hAnsi="仿宋_GB2312" w:eastAsia="仿宋_GB2312" w:cs="仿宋_GB2312"/>
          <w:sz w:val="32"/>
          <w:szCs w:val="32"/>
          <w:lang w:val="en-US" w:eastAsia="zh-CN"/>
        </w:rPr>
        <w:t>综合单价</w:t>
      </w:r>
      <w:commentRangeEnd w:id="1"/>
      <w:r>
        <w:commentReference w:id="1"/>
      </w:r>
      <w:r>
        <w:rPr>
          <w:rFonts w:hint="eastAsia" w:ascii="仿宋_GB2312" w:hAnsi="仿宋_GB2312" w:eastAsia="仿宋_GB2312" w:cs="仿宋_GB2312"/>
          <w:sz w:val="32"/>
          <w:szCs w:val="32"/>
          <w:lang w:val="en-US" w:eastAsia="zh-CN"/>
        </w:rPr>
        <w:t>模式计价，综合单价不作调整，海师建筑消防安全评估XXX元/平方米，琼台建筑消防安全评估XXX元/平方米;计价面积按乙方现场实际完成、且经甲方核定确认的评估面积予以计取。款项支付须经桂林洋管委会复函合格后方可办理，乙方应向甲方提供等额、合法、有效的增值税专用发票。若乙方未按要求提供合规发票，甲方有权延期付款，该情形不视为甲方违约，由此产生的全部损失由乙方自行承担。</w:t>
      </w:r>
    </w:p>
    <w:p w14:paraId="66CDE9E7">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甲方开票信息</w:t>
      </w:r>
      <w:r>
        <w:rPr>
          <w:rFonts w:hint="default" w:ascii="仿宋_GB2312" w:hAnsi="仿宋_GB2312" w:eastAsia="仿宋_GB2312" w:cs="仿宋_GB2312"/>
          <w:sz w:val="32"/>
          <w:szCs w:val="32"/>
        </w:rPr>
        <w:t>：</w:t>
      </w:r>
    </w:p>
    <w:p w14:paraId="75D5B8E4">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银行账号</w:t>
      </w:r>
      <w:r>
        <w:rPr>
          <w:rFonts w:hint="eastAsia" w:ascii="仿宋_GB2312" w:hAnsi="仿宋_GB2312" w:eastAsia="仿宋_GB2312" w:cs="仿宋_GB2312"/>
          <w:sz w:val="32"/>
          <w:szCs w:val="32"/>
        </w:rPr>
        <w:t>：</w:t>
      </w:r>
    </w:p>
    <w:p w14:paraId="0DC254A0">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账户名称</w:t>
      </w:r>
      <w:r>
        <w:rPr>
          <w:rFonts w:hint="eastAsia" w:ascii="仿宋_GB2312" w:hAnsi="仿宋_GB2312" w:eastAsia="仿宋_GB2312" w:cs="仿宋_GB2312"/>
          <w:sz w:val="32"/>
          <w:szCs w:val="32"/>
        </w:rPr>
        <w:t>：</w:t>
      </w:r>
    </w:p>
    <w:p w14:paraId="4D4EF0E3">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w:t>
      </w: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rPr>
        <w:t>：</w:t>
      </w:r>
    </w:p>
    <w:p w14:paraId="6720E997">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银行账户信息：</w:t>
      </w:r>
    </w:p>
    <w:p w14:paraId="3A4E1685">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银行账号： </w:t>
      </w:r>
    </w:p>
    <w:p w14:paraId="7EAC398B">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账户名称：  </w:t>
      </w:r>
    </w:p>
    <w:p w14:paraId="39490675">
      <w:pPr>
        <w:keepNext w:val="0"/>
        <w:keepLines w:val="0"/>
        <w:pageBreakBefore w:val="0"/>
        <w:widowControl w:val="0"/>
        <w:suppressLineNumbers w:val="0"/>
        <w:kinsoku w:val="0"/>
        <w:wordWrap/>
        <w:overflowPunct/>
        <w:topLinePunct w:val="0"/>
        <w:autoSpaceDE w:val="0"/>
        <w:autoSpaceDN w:val="0"/>
        <w:bidi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开户银行： </w:t>
      </w:r>
    </w:p>
    <w:p w14:paraId="2F66AC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违约责任</w:t>
      </w:r>
      <w:r>
        <w:rPr>
          <w:rFonts w:hint="eastAsia" w:ascii="仿宋_GB2312" w:hAnsi="仿宋_GB2312" w:eastAsia="仿宋_GB2312" w:cs="仿宋_GB2312"/>
          <w:sz w:val="32"/>
          <w:szCs w:val="32"/>
        </w:rPr>
        <w:t>：</w:t>
      </w:r>
    </w:p>
    <w:p w14:paraId="5B9A39E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1.甲方向乙方提交基础资料及文件，并对其完整性、真实性、正确性负责。</w:t>
      </w:r>
    </w:p>
    <w:p w14:paraId="68326ED5">
      <w:pPr>
        <w:keepNext w:val="0"/>
        <w:keepLines w:val="0"/>
        <w:pageBreakBefore w:val="0"/>
        <w:widowControl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2.乙方应按合同约定时间及质量要求向甲方提供合格的评估报告，每逾期提交一天，应承担合同总额万分之二的违约金，逾期超过7天的甲方有权解除合同，并有乙方向甲方支付合同总额20%的违约金。</w:t>
      </w:r>
    </w:p>
    <w:p w14:paraId="78A0FD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乙方对其出具的评估报告负责，并接受甲方的监督</w:t>
      </w:r>
      <w:r>
        <w:rPr>
          <w:rFonts w:hint="eastAsia" w:ascii="仿宋_GB2312" w:hAnsi="仿宋_GB2312" w:eastAsia="仿宋_GB2312" w:cs="仿宋_GB2312"/>
          <w:sz w:val="32"/>
          <w:szCs w:val="32"/>
          <w:lang w:eastAsia="zh-CN"/>
        </w:rPr>
        <w:t>。</w:t>
      </w:r>
    </w:p>
    <w:p w14:paraId="7616A04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在评估过程中必须确保安全，遵守安全守则；如引起安全事故工伤责任及造成甲方或他人财产和人身损害等的，完全由乙方负责。如甲方因此遭受牵连及损失或受到相关部门惩处的，甲方有权向乙方追偿由此造成的全部损失（包括但不限于判决/裁决责任、罚金、甲方所支出的律师费及其他费用等，下同）</w:t>
      </w:r>
      <w:r>
        <w:rPr>
          <w:rFonts w:hint="eastAsia" w:ascii="仿宋_GB2312" w:hAnsi="仿宋_GB2312" w:eastAsia="仿宋_GB2312" w:cs="仿宋_GB2312"/>
          <w:sz w:val="32"/>
          <w:szCs w:val="32"/>
          <w:lang w:eastAsia="zh-CN"/>
        </w:rPr>
        <w:t>。</w:t>
      </w:r>
    </w:p>
    <w:p w14:paraId="7E3D4C48">
      <w:pPr>
        <w:keepNext w:val="0"/>
        <w:keepLines w:val="0"/>
        <w:pageBreakBefore w:val="0"/>
        <w:widowControl w:val="0"/>
        <w:suppressLineNumbers w:val="0"/>
        <w:wordWrap/>
        <w:overflowPunct/>
        <w:topLinePunct w:val="0"/>
        <w:bidi w:val="0"/>
        <w:spacing w:before="0" w:beforeAutospacing="0" w:after="0" w:afterAutospacing="0" w:line="560" w:lineRule="exact"/>
        <w:ind w:right="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争议解决</w:t>
      </w:r>
    </w:p>
    <w:p w14:paraId="5AC3FB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本合同履行过程中如发生争议，甲乙双方应首先协商解决；协商不成的，任何一方均可向海南国际仲裁院提起仲裁。</w:t>
      </w:r>
    </w:p>
    <w:p w14:paraId="2C4BA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九、其他约定</w:t>
      </w:r>
    </w:p>
    <w:p w14:paraId="59012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（一）未尽事宜经双方友好协商后签订补充协议，</w:t>
      </w:r>
      <w:r>
        <w:rPr>
          <w:rFonts w:hint="eastAsia" w:ascii="仿宋_GB2312" w:hAnsi="仿宋_GB2312" w:eastAsia="仿宋_GB2312" w:cs="仿宋_GB2312"/>
          <w:sz w:val="32"/>
          <w:szCs w:val="32"/>
          <w:lang w:val="en-US" w:eastAsia="zh-Hans"/>
        </w:rPr>
        <w:t>补充协议</w:t>
      </w:r>
      <w:r>
        <w:rPr>
          <w:rFonts w:hint="eastAsia" w:ascii="仿宋_GB2312" w:hAnsi="仿宋_GB2312" w:eastAsia="仿宋_GB2312" w:cs="仿宋_GB2312"/>
          <w:sz w:val="32"/>
          <w:szCs w:val="32"/>
          <w:lang w:val="en-US" w:eastAsia="zh-CN"/>
        </w:rPr>
        <w:t>与原合同具有同等法律效力。</w:t>
      </w:r>
    </w:p>
    <w:p w14:paraId="77806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（二）合同自双方法定代表人或授权代表签字并加盖企业公章或合同专用章之日起生效。</w:t>
      </w:r>
    </w:p>
    <w:p w14:paraId="76526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（三）本合同一式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份，乙方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16B44073">
      <w:pPr>
        <w:pStyle w:val="2"/>
        <w:rPr>
          <w:rFonts w:hint="eastAsia" w:ascii="仿宋_GB2312" w:hAnsi="仿宋_GB2312" w:eastAsia="仿宋_GB2312" w:cs="仿宋_GB2312"/>
          <w:sz w:val="32"/>
          <w:szCs w:val="32"/>
          <w:u w:val="none"/>
          <w:lang w:val="en-US" w:eastAsia="zh-CN"/>
        </w:rPr>
      </w:pPr>
    </w:p>
    <w:p w14:paraId="326B97B1">
      <w:pPr>
        <w:numPr>
          <w:ilvl w:val="0"/>
          <w:numId w:val="0"/>
        </w:numPr>
        <w:spacing w:line="560" w:lineRule="exact"/>
        <w:ind w:firstLine="0" w:firstLineChars="0"/>
        <w:rPr>
          <w:rFonts w:hint="default" w:ascii="仿宋_GB2312" w:hAnsi="Times New Roman" w:eastAsia="仿宋_GB2312" w:cs="Times New Roman"/>
          <w:sz w:val="32"/>
          <w:szCs w:val="32"/>
          <w:lang w:val="en-US" w:eastAsia="zh-CN"/>
        </w:rPr>
      </w:pPr>
    </w:p>
    <w:p w14:paraId="5F603FF2">
      <w:pPr>
        <w:spacing w:line="560" w:lineRule="exact"/>
        <w:jc w:val="both"/>
        <w:rPr>
          <w:rFonts w:hint="eastAsia" w:ascii="仿宋_GB2312" w:eastAsia="仿宋_GB2312"/>
          <w:color w:val="000000"/>
          <w:sz w:val="32"/>
          <w:szCs w:val="32"/>
          <w:lang w:eastAsia="zh-CN"/>
        </w:rPr>
      </w:pPr>
    </w:p>
    <w:p w14:paraId="0E3400F5">
      <w:pPr>
        <w:spacing w:line="560" w:lineRule="exact"/>
        <w:jc w:val="both"/>
        <w:rPr>
          <w:rFonts w:hint="eastAsia" w:ascii="仿宋_GB2312" w:eastAsia="仿宋_GB2312"/>
          <w:color w:val="000000"/>
          <w:sz w:val="32"/>
          <w:szCs w:val="32"/>
          <w:lang w:eastAsia="zh-CN"/>
        </w:rPr>
      </w:pPr>
    </w:p>
    <w:p w14:paraId="5E3E9D35">
      <w:pPr>
        <w:spacing w:line="560" w:lineRule="exact"/>
        <w:jc w:val="both"/>
        <w:rPr>
          <w:rFonts w:hint="eastAsia" w:ascii="仿宋_GB2312" w:eastAsia="仿宋_GB2312"/>
          <w:color w:val="000000"/>
          <w:sz w:val="32"/>
          <w:szCs w:val="32"/>
          <w:lang w:eastAsia="zh-CN"/>
        </w:rPr>
      </w:pPr>
    </w:p>
    <w:p w14:paraId="093DD023">
      <w:pPr>
        <w:spacing w:line="560" w:lineRule="exact"/>
        <w:jc w:val="both"/>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以下无正文，合同签署页</w:t>
      </w:r>
      <w:r>
        <w:rPr>
          <w:rFonts w:hint="eastAsia" w:ascii="仿宋_GB2312" w:eastAsia="仿宋_GB2312"/>
          <w:color w:val="000000"/>
          <w:sz w:val="32"/>
          <w:szCs w:val="32"/>
          <w:lang w:eastAsia="zh-CN"/>
        </w:rPr>
        <w:t>）</w:t>
      </w:r>
    </w:p>
    <w:p w14:paraId="4AD53F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6ACF2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559BD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13398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BC095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甲方单位（盖章）                乙方单位（盖章）</w:t>
      </w:r>
    </w:p>
    <w:p w14:paraId="31DEE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0A7CC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DB4A6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甲方代表（签名）                乙方代表（签名）                  </w:t>
      </w:r>
    </w:p>
    <w:p w14:paraId="659A1BB8">
      <w:pPr>
        <w:pStyle w:val="2"/>
        <w:ind w:firstLine="0" w:firstLineChars="0"/>
        <w:rPr>
          <w:rFonts w:hint="eastAsia" w:ascii="仿宋_GB2312" w:hAnsi="仿宋_GB2312" w:eastAsia="仿宋_GB2312" w:cs="仿宋_GB2312"/>
          <w:sz w:val="32"/>
          <w:szCs w:val="32"/>
          <w:lang w:val="en-US" w:eastAsia="zh-Hans"/>
        </w:rPr>
      </w:pPr>
    </w:p>
    <w:p w14:paraId="0D0604C0">
      <w:pPr>
        <w:pStyle w:val="2"/>
        <w:ind w:firstLine="0" w:firstLineChars="0"/>
        <w:rPr>
          <w:rFonts w:hint="eastAsia" w:ascii="仿宋_GB2312" w:hAnsi="仿宋_GB2312" w:eastAsia="仿宋_GB2312" w:cs="仿宋_GB2312"/>
          <w:sz w:val="32"/>
          <w:szCs w:val="32"/>
          <w:lang w:val="en-US" w:eastAsia="zh-CN"/>
        </w:rPr>
      </w:pPr>
    </w:p>
    <w:p w14:paraId="251FD421">
      <w:pPr>
        <w:pStyle w:val="2"/>
        <w:ind w:firstLine="0" w:firstLineChars="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经办人（签字）：</w:t>
      </w:r>
    </w:p>
    <w:p w14:paraId="49E2BDA2">
      <w:pPr>
        <w:pStyle w:val="2"/>
        <w:ind w:firstLine="0" w:firstLineChars="0"/>
        <w:rPr>
          <w:rFonts w:hint="eastAsia" w:ascii="仿宋_GB2312" w:hAnsi="仿宋_GB2312" w:eastAsia="仿宋_GB2312" w:cs="仿宋_GB2312"/>
          <w:sz w:val="32"/>
          <w:szCs w:val="32"/>
          <w:lang w:val="en-US" w:eastAsia="zh-Hans"/>
        </w:rPr>
      </w:pPr>
    </w:p>
    <w:p w14:paraId="14C51D65">
      <w:pPr>
        <w:pStyle w:val="2"/>
        <w:ind w:firstLine="0" w:firstLineChars="0"/>
        <w:rPr>
          <w:rFonts w:hint="default"/>
          <w:lang w:eastAsia="zh-Hans"/>
        </w:rPr>
      </w:pPr>
    </w:p>
    <w:p w14:paraId="473253E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E1DB35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rPr>
      </w:pPr>
    </w:p>
    <w:p w14:paraId="553C5078">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rPr>
      </w:pPr>
    </w:p>
    <w:p w14:paraId="63A21D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签订时间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     年   月   日</w:t>
      </w:r>
    </w:p>
    <w:p w14:paraId="1E2F932F">
      <w:pPr>
        <w:rPr>
          <w:rFonts w:hint="eastAsia"/>
        </w:rPr>
      </w:pPr>
    </w:p>
    <w:sectPr>
      <w:footerReference r:id="rId7" w:type="default"/>
      <w:pgSz w:w="11900" w:h="16840"/>
      <w:pgMar w:top="1440" w:right="1800" w:bottom="1440" w:left="1800" w:header="0" w:footer="945"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法立信pan" w:date="2026-02-24T10:45:13Z" w:initials="">
    <w:p w14:paraId="3376E594">
      <w:pPr>
        <w:pStyle w:val="3"/>
        <w:rPr>
          <w:rFonts w:hint="default" w:eastAsia="宋体"/>
          <w:lang w:val="en-US" w:eastAsia="zh-CN"/>
        </w:rPr>
      </w:pPr>
      <w:r>
        <w:rPr>
          <w:rFonts w:hint="eastAsia" w:eastAsia="宋体"/>
          <w:lang w:val="en-US" w:eastAsia="zh-CN"/>
        </w:rPr>
        <w:t>建议完善内容</w:t>
      </w:r>
    </w:p>
  </w:comment>
  <w:comment w:id="1" w:author="法立信pan" w:date="2026-02-24T14:27:35Z" w:initials="">
    <w:p w14:paraId="29DD5AC0">
      <w:pPr>
        <w:pStyle w:val="3"/>
        <w:rPr>
          <w:rFonts w:hint="default" w:eastAsia="宋体"/>
          <w:lang w:val="en-US" w:eastAsia="zh-CN"/>
        </w:rPr>
      </w:pPr>
      <w:r>
        <w:rPr>
          <w:rFonts w:hint="eastAsia" w:eastAsia="宋体"/>
          <w:lang w:val="en-US" w:eastAsia="zh-CN"/>
        </w:rPr>
        <w:t>单价标准建议明确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76E594" w15:done="0"/>
  <w15:commentEx w15:paraId="29DD5A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65F5">
    <w:pPr>
      <w:spacing w:line="175" w:lineRule="auto"/>
      <w:ind w:left="4184"/>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0DE6A"/>
    <w:multiLevelType w:val="singleLevel"/>
    <w:tmpl w:val="4040DE6A"/>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法立信pan">
    <w15:presenceInfo w15:providerId="WPS Office" w15:userId="302992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2E3NjY2ODA3MWZmZmJkZjFhNzU2ODMyZmI5ODEyMDIifQ=="/>
  </w:docVars>
  <w:rsids>
    <w:rsidRoot w:val="00000000"/>
    <w:rsid w:val="015F7ED4"/>
    <w:rsid w:val="070C2A83"/>
    <w:rsid w:val="140C03C2"/>
    <w:rsid w:val="1DDF32EC"/>
    <w:rsid w:val="243E6375"/>
    <w:rsid w:val="24585AA3"/>
    <w:rsid w:val="2A91249D"/>
    <w:rsid w:val="2ABFE071"/>
    <w:rsid w:val="2D2160C4"/>
    <w:rsid w:val="2FAA2E2B"/>
    <w:rsid w:val="3029036A"/>
    <w:rsid w:val="35191E9C"/>
    <w:rsid w:val="360E1477"/>
    <w:rsid w:val="37D4097F"/>
    <w:rsid w:val="3D5060EF"/>
    <w:rsid w:val="3D636C03"/>
    <w:rsid w:val="3F4F5F15"/>
    <w:rsid w:val="3FDFE757"/>
    <w:rsid w:val="3FFE35F0"/>
    <w:rsid w:val="43C24BBE"/>
    <w:rsid w:val="4EF82E74"/>
    <w:rsid w:val="55297B4A"/>
    <w:rsid w:val="5FD22AC5"/>
    <w:rsid w:val="5FFF2227"/>
    <w:rsid w:val="609F1521"/>
    <w:rsid w:val="61320545"/>
    <w:rsid w:val="63620DAF"/>
    <w:rsid w:val="63B809F7"/>
    <w:rsid w:val="661D57CA"/>
    <w:rsid w:val="694531F1"/>
    <w:rsid w:val="72871CF5"/>
    <w:rsid w:val="7697CD22"/>
    <w:rsid w:val="77B16F11"/>
    <w:rsid w:val="7A9F1302"/>
    <w:rsid w:val="7C9A3593"/>
    <w:rsid w:val="BE398C57"/>
    <w:rsid w:val="BFD49FAB"/>
    <w:rsid w:val="DE77C158"/>
    <w:rsid w:val="DFEE5305"/>
    <w:rsid w:val="FFCCD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964" w:firstLineChars="200"/>
    </w:pPr>
    <w:rPr>
      <w:rFonts w:ascii="Calibri" w:hAnsi="Calibri" w:cs="宋体"/>
      <w:szCs w:val="22"/>
    </w:r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30"/>
      <w:szCs w:val="30"/>
      <w:lang w:val="en-US" w:eastAsia="en-US" w:bidi="ar-SA"/>
    </w:rPr>
  </w:style>
  <w:style w:type="character" w:styleId="7">
    <w:name w:val="Strong"/>
    <w:basedOn w:val="6"/>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1277</Words>
  <Characters>1323</Characters>
  <TotalTime>108</TotalTime>
  <ScaleCrop>false</ScaleCrop>
  <LinksUpToDate>false</LinksUpToDate>
  <CharactersWithSpaces>1432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2024-07-31T01:31:00Z</dcterms:created>
  <dc:creator>Kingsoft-PDF</dc:creator>
  <cp:lastModifiedBy>wkk</cp:lastModifiedBy>
  <dcterms:modified xsi:type="dcterms:W3CDTF">2026-03-03T00:30:09Z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2024-07-30T09:31:10Z</vt:filetime>
  </property>
  <property fmtid="{D5CDD505-2E9C-101B-9397-08002B2CF9AE}" pid="4" name="UsrData">
    <vt:lpwstr>66a8425a542596001fa4d554wl</vt:lpwstr>
  </property>
  <property fmtid="{D5CDD505-2E9C-101B-9397-08002B2CF9AE}" pid="5" name="KSOProductBuildVer">
    <vt:lpwstr>2052-12.1.0.24657</vt:lpwstr>
  </property>
  <property fmtid="{D5CDD505-2E9C-101B-9397-08002B2CF9AE}" pid="6" name="ICV">
    <vt:lpwstr>C079F675E12D410BA0CDC71075A53C2F_13</vt:lpwstr>
  </property>
  <property fmtid="{D5CDD505-2E9C-101B-9397-08002B2CF9AE}" pid="7" name="KSOTemplateDocerSaveRecord">
    <vt:lpwstr>eyJoZGlkIjoiYjU1NGZlMWQ2MDA0Zjc0YjkwNjRiYjkyOGQyZjYyYmMiLCJ1c2VySWQiOiIxMjY2ODMyNjU1In0=</vt:lpwstr>
  </property>
</Properties>
</file>