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00CF44">
      <w:pPr>
        <w:spacing w:line="576" w:lineRule="exact"/>
        <w:jc w:val="left"/>
        <w:rPr>
          <w:rFonts w:hint="default" w:ascii="黑体" w:hAnsi="黑体" w:eastAsia="黑体" w:cs="方正小标宋简体"/>
          <w:bCs/>
          <w:highlight w:val="none"/>
          <w:lang w:val="en-US" w:eastAsia="zh-CN"/>
        </w:rPr>
      </w:pPr>
      <w:r>
        <w:rPr>
          <w:rFonts w:hint="eastAsia" w:ascii="黑体" w:hAnsi="黑体" w:eastAsia="黑体" w:cs="方正小标宋简体"/>
          <w:bCs/>
          <w:highlight w:val="none"/>
          <w:lang w:val="en-US" w:eastAsia="zh-CN"/>
        </w:rPr>
        <w:t>附件三</w:t>
      </w:r>
    </w:p>
    <w:p w14:paraId="0E5311D3">
      <w:pPr>
        <w:spacing w:line="560" w:lineRule="exact"/>
        <w:ind w:right="640"/>
        <w:jc w:val="right"/>
        <w:rPr>
          <w:rFonts w:hint="eastAsia" w:ascii="微软雅黑" w:hAnsi="微软雅黑" w:eastAsia="微软雅黑" w:cs="微软雅黑"/>
          <w:color w:val="000000"/>
          <w:highlight w:val="none"/>
        </w:rPr>
      </w:pPr>
    </w:p>
    <w:p w14:paraId="79C05CBF">
      <w:pPr>
        <w:spacing w:line="560" w:lineRule="exact"/>
        <w:jc w:val="right"/>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签约地：海口</w:t>
      </w:r>
    </w:p>
    <w:p w14:paraId="6AA8FAF1">
      <w:pPr>
        <w:spacing w:line="560" w:lineRule="exact"/>
        <w:rPr>
          <w:color w:val="000000"/>
          <w:highlight w:val="none"/>
        </w:rPr>
      </w:pPr>
    </w:p>
    <w:p w14:paraId="2B21D061">
      <w:pPr>
        <w:spacing w:line="560" w:lineRule="exact"/>
        <w:rPr>
          <w:color w:val="auto"/>
          <w:highlight w:val="none"/>
        </w:rPr>
      </w:pPr>
    </w:p>
    <w:p w14:paraId="056B4406">
      <w:pPr>
        <w:pStyle w:val="27"/>
        <w:rPr>
          <w:color w:val="auto"/>
          <w:highlight w:val="none"/>
        </w:rPr>
      </w:pPr>
    </w:p>
    <w:p w14:paraId="598DEADD">
      <w:pPr>
        <w:adjustRightInd/>
        <w:spacing w:line="560" w:lineRule="exact"/>
        <w:jc w:val="cente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江东新区科创园项目招商运营委托</w:t>
      </w:r>
    </w:p>
    <w:p w14:paraId="39AAF913">
      <w:pPr>
        <w:adjustRightInd/>
        <w:spacing w:line="560" w:lineRule="exact"/>
        <w:jc w:val="cente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服务协议</w:t>
      </w:r>
    </w:p>
    <w:p w14:paraId="1629D154">
      <w:pPr>
        <w:adjustRightInd w:val="0"/>
        <w:spacing w:line="560" w:lineRule="exact"/>
        <w:jc w:val="center"/>
        <w:rPr>
          <w:rFonts w:ascii="微软雅黑" w:eastAsia="微软雅黑" w:cs="微软雅黑"/>
          <w:b/>
          <w:bCs/>
          <w:color w:val="auto"/>
          <w:sz w:val="44"/>
          <w:szCs w:val="44"/>
          <w:highlight w:val="none"/>
        </w:rPr>
      </w:pPr>
    </w:p>
    <w:p w14:paraId="3C3358B9">
      <w:pPr>
        <w:adjustRightInd w:val="0"/>
        <w:spacing w:line="560" w:lineRule="exact"/>
        <w:jc w:val="center"/>
        <w:rPr>
          <w:rFonts w:ascii="?????" w:hAnsi="?????" w:eastAsia="微软雅黑" w:cs="?????"/>
          <w:b/>
          <w:bCs/>
          <w:color w:val="auto"/>
          <w:sz w:val="44"/>
          <w:szCs w:val="44"/>
          <w:highlight w:val="none"/>
        </w:rPr>
      </w:pPr>
    </w:p>
    <w:p w14:paraId="4A5ED388">
      <w:pPr>
        <w:adjustRightInd w:val="0"/>
        <w:spacing w:line="560" w:lineRule="exact"/>
        <w:jc w:val="center"/>
        <w:rPr>
          <w:rFonts w:ascii="?????" w:hAnsi="?????" w:eastAsia="微软雅黑" w:cs="?????"/>
          <w:b/>
          <w:bCs/>
          <w:color w:val="auto"/>
          <w:sz w:val="44"/>
          <w:szCs w:val="44"/>
          <w:highlight w:val="none"/>
        </w:rPr>
      </w:pPr>
    </w:p>
    <w:p w14:paraId="786FAEEC">
      <w:pPr>
        <w:adjustRightInd w:val="0"/>
        <w:spacing w:line="560" w:lineRule="exact"/>
        <w:jc w:val="center"/>
        <w:rPr>
          <w:rFonts w:ascii="?????" w:hAnsi="?????" w:eastAsia="微软雅黑" w:cs="?????"/>
          <w:b/>
          <w:bCs/>
          <w:color w:val="auto"/>
          <w:sz w:val="44"/>
          <w:szCs w:val="44"/>
          <w:highlight w:val="none"/>
        </w:rPr>
      </w:pPr>
    </w:p>
    <w:p w14:paraId="2D735CA1">
      <w:pPr>
        <w:adjustRightInd w:val="0"/>
        <w:spacing w:line="560" w:lineRule="exact"/>
        <w:jc w:val="center"/>
        <w:rPr>
          <w:rFonts w:ascii="?????" w:hAnsi="?????" w:eastAsia="微软雅黑" w:cs="?????"/>
          <w:b/>
          <w:bCs/>
          <w:color w:val="auto"/>
          <w:sz w:val="44"/>
          <w:szCs w:val="44"/>
          <w:highlight w:val="none"/>
        </w:rPr>
      </w:pPr>
    </w:p>
    <w:p w14:paraId="14747CB7">
      <w:pPr>
        <w:adjustRightInd w:val="0"/>
        <w:spacing w:line="560" w:lineRule="exact"/>
        <w:jc w:val="center"/>
        <w:rPr>
          <w:rFonts w:ascii="?????" w:hAnsi="?????" w:eastAsia="微软雅黑" w:cs="?????"/>
          <w:b/>
          <w:bCs/>
          <w:color w:val="auto"/>
          <w:sz w:val="44"/>
          <w:szCs w:val="44"/>
          <w:highlight w:val="none"/>
        </w:rPr>
      </w:pPr>
    </w:p>
    <w:p w14:paraId="709F0274">
      <w:pPr>
        <w:adjustRightInd w:val="0"/>
        <w:spacing w:line="560" w:lineRule="exact"/>
        <w:jc w:val="center"/>
        <w:rPr>
          <w:rFonts w:ascii="?????" w:hAnsi="?????" w:eastAsia="微软雅黑" w:cs="?????"/>
          <w:b/>
          <w:bCs/>
          <w:color w:val="auto"/>
          <w:sz w:val="44"/>
          <w:szCs w:val="44"/>
          <w:highlight w:val="none"/>
        </w:rPr>
      </w:pPr>
    </w:p>
    <w:p w14:paraId="45B41ABF">
      <w:pPr>
        <w:adjustRightInd w:val="0"/>
        <w:spacing w:line="560" w:lineRule="exact"/>
        <w:rPr>
          <w:rFonts w:ascii="黑体" w:hAnsi="?????" w:eastAsia="黑体" w:cs="黑体"/>
          <w:color w:val="auto"/>
          <w:highlight w:val="none"/>
        </w:rPr>
      </w:pPr>
    </w:p>
    <w:p w14:paraId="41379443">
      <w:pPr>
        <w:spacing w:line="560" w:lineRule="exact"/>
        <w:jc w:val="center"/>
        <w:rPr>
          <w:rFonts w:hint="eastAsia" w:hAnsi="仿宋_GB2312" w:cs="仿宋_GB2312"/>
          <w:color w:val="000000" w:themeColor="text1"/>
          <w:highlight w:val="none"/>
          <w14:textFill>
            <w14:solidFill>
              <w14:schemeClr w14:val="tx1"/>
            </w14:solidFill>
          </w14:textFill>
        </w:rPr>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720" w:num="1"/>
          <w:docGrid w:type="lines" w:linePitch="312" w:charSpace="0"/>
        </w:sectPr>
      </w:pPr>
      <w:r>
        <w:rPr>
          <w:rFonts w:hint="eastAsia" w:hAnsi="仿宋_GB2312" w:cs="仿宋_GB2312"/>
          <w:color w:val="000000" w:themeColor="text1"/>
          <w:highlight w:val="none"/>
          <w14:textFill>
            <w14:solidFill>
              <w14:schemeClr w14:val="tx1"/>
            </w14:solidFill>
          </w14:textFill>
        </w:rPr>
        <w:t>二〇二</w:t>
      </w:r>
      <w:r>
        <w:rPr>
          <w:rFonts w:hint="eastAsia" w:hAnsi="仿宋_GB2312" w:cs="仿宋_GB2312"/>
          <w:color w:val="000000" w:themeColor="text1"/>
          <w:highlight w:val="none"/>
          <w:lang w:val="en-US" w:eastAsia="zh-CN"/>
          <w14:textFill>
            <w14:solidFill>
              <w14:schemeClr w14:val="tx1"/>
            </w14:solidFill>
          </w14:textFill>
        </w:rPr>
        <w:t>六</w:t>
      </w:r>
      <w:r>
        <w:rPr>
          <w:rFonts w:hint="eastAsia" w:hAnsi="仿宋_GB2312" w:cs="仿宋_GB2312"/>
          <w:color w:val="000000" w:themeColor="text1"/>
          <w:highlight w:val="none"/>
          <w14:textFill>
            <w14:solidFill>
              <w14:schemeClr w14:val="tx1"/>
            </w14:solidFill>
          </w14:textFill>
        </w:rPr>
        <w:t xml:space="preserve"> 年  月</w:t>
      </w:r>
    </w:p>
    <w:p w14:paraId="30FC47C6">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b/>
          <w:bCs/>
          <w:color w:val="auto"/>
          <w:sz w:val="32"/>
          <w:highlight w:val="none"/>
          <w:lang w:val="en-US" w:eastAsia="zh-CN"/>
        </w:rPr>
        <w:t>甲</w:t>
      </w:r>
      <w:r>
        <w:rPr>
          <w:rFonts w:hint="eastAsia" w:ascii="仿宋_GB2312" w:hAnsi="仿宋_GB2312" w:cs="仿宋_GB2312"/>
          <w:b/>
          <w:bCs/>
          <w:color w:val="auto"/>
          <w:sz w:val="32"/>
          <w:highlight w:val="none"/>
        </w:rPr>
        <w:t>方</w:t>
      </w:r>
      <w:r>
        <w:rPr>
          <w:rFonts w:hint="eastAsia" w:ascii="仿宋_GB2312" w:hAnsi="仿宋_GB2312" w:cs="仿宋_GB2312"/>
          <w:color w:val="auto"/>
          <w:sz w:val="32"/>
          <w:highlight w:val="none"/>
        </w:rPr>
        <w:t>：海口市君成产业服务股份有限公司</w:t>
      </w:r>
    </w:p>
    <w:p w14:paraId="27BAB112">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color w:val="auto"/>
          <w:sz w:val="32"/>
          <w:highlight w:val="none"/>
        </w:rPr>
        <w:t>法定代表人：王皎</w:t>
      </w:r>
    </w:p>
    <w:p w14:paraId="6E7F0110">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color w:val="auto"/>
          <w:sz w:val="32"/>
          <w:highlight w:val="none"/>
        </w:rPr>
        <w:t>地址：海南省海口市江东新区江东大道202号江东大厦C座3层</w:t>
      </w:r>
    </w:p>
    <w:p w14:paraId="23031BCA">
      <w:pPr>
        <w:pStyle w:val="25"/>
        <w:spacing w:line="560" w:lineRule="exact"/>
        <w:ind w:firstLine="482"/>
        <w:rPr>
          <w:rFonts w:hint="eastAsia" w:ascii="仿宋_GB2312" w:hAnsi="仿宋_GB2312" w:cs="仿宋_GB2312"/>
          <w:b/>
          <w:bCs/>
          <w:color w:val="auto"/>
          <w:sz w:val="32"/>
          <w:highlight w:val="none"/>
        </w:rPr>
      </w:pPr>
      <w:r>
        <w:rPr>
          <w:rFonts w:hint="eastAsia" w:ascii="仿宋_GB2312" w:hAnsi="仿宋_GB2312" w:cs="仿宋_GB2312"/>
          <w:b/>
          <w:bCs/>
          <w:color w:val="auto"/>
          <w:sz w:val="32"/>
          <w:highlight w:val="none"/>
        </w:rPr>
        <w:t>乙方：</w:t>
      </w:r>
    </w:p>
    <w:p w14:paraId="74C28B3F">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color w:val="auto"/>
          <w:sz w:val="32"/>
          <w:highlight w:val="none"/>
        </w:rPr>
        <w:t>法定代表人：</w:t>
      </w:r>
    </w:p>
    <w:p w14:paraId="2A90A5C6">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color w:val="auto"/>
          <w:sz w:val="32"/>
          <w:highlight w:val="none"/>
        </w:rPr>
        <w:t>地址：</w:t>
      </w:r>
    </w:p>
    <w:p w14:paraId="606015A3">
      <w:pPr>
        <w:pStyle w:val="27"/>
        <w:rPr>
          <w:rFonts w:hint="eastAsia" w:ascii="仿宋_GB2312" w:hAnsi="仿宋_GB2312" w:cs="仿宋_GB2312"/>
          <w:color w:val="auto"/>
          <w:highlight w:val="none"/>
        </w:rPr>
      </w:pPr>
    </w:p>
    <w:p w14:paraId="6BCC027D">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color w:val="auto"/>
          <w:sz w:val="32"/>
          <w:highlight w:val="none"/>
        </w:rPr>
        <w:t>海口江东新区作为海南自由贸易港建设的重点先行区，依托得天独厚的区位优势、生态优势和后发优势，围绕海南自贸港“三区一中心”总体定位，打造全面深化改革开放试验区的创新区、国家生态文明试验区的展示区、国际旅游消费中心的体验区、国家重大战略服务保障区的示范区，全力将江东新区建设成为海南自贸港现代服务业集聚区。</w:t>
      </w:r>
    </w:p>
    <w:p w14:paraId="24CBF6F3">
      <w:pPr>
        <w:pStyle w:val="25"/>
        <w:spacing w:line="560" w:lineRule="exact"/>
        <w:ind w:firstLine="480"/>
        <w:rPr>
          <w:rFonts w:hint="eastAsia" w:ascii="仿宋_GB2312" w:hAnsi="仿宋_GB2312" w:cs="仿宋_GB2312"/>
          <w:color w:val="auto"/>
          <w:sz w:val="32"/>
          <w:highlight w:val="none"/>
        </w:rPr>
      </w:pPr>
      <w:r>
        <w:rPr>
          <w:rFonts w:hint="eastAsia" w:ascii="仿宋_GB2312" w:hAnsi="仿宋_GB2312" w:cs="仿宋_GB2312"/>
          <w:color w:val="auto"/>
          <w:sz w:val="32"/>
          <w:highlight w:val="none"/>
        </w:rPr>
        <w:t>甲乙双方</w:t>
      </w:r>
      <w:r>
        <w:rPr>
          <w:rFonts w:hint="eastAsia" w:ascii="仿宋_GB2312" w:hAnsi="仿宋_GB2312" w:cs="仿宋_GB2312"/>
          <w:color w:val="auto"/>
          <w:sz w:val="32"/>
          <w:highlight w:val="none"/>
          <w:lang w:val="zh-CN"/>
        </w:rPr>
        <w:t>拟借助自贸港“双15”政策，在江东天地建设江东新区科创园（</w:t>
      </w:r>
      <w:r>
        <w:rPr>
          <w:rFonts w:hint="eastAsia" w:ascii="仿宋_GB2312" w:hAnsi="仿宋_GB2312" w:cs="仿宋_GB2312"/>
          <w:color w:val="auto"/>
          <w:sz w:val="32"/>
          <w:highlight w:val="none"/>
          <w:lang w:val="en-US" w:eastAsia="zh-CN"/>
        </w:rPr>
        <w:t>以下简称“科创园”</w:t>
      </w:r>
      <w:r>
        <w:rPr>
          <w:rFonts w:hint="eastAsia" w:ascii="仿宋_GB2312" w:hAnsi="仿宋_GB2312" w:cs="仿宋_GB2312"/>
          <w:color w:val="auto"/>
          <w:sz w:val="32"/>
          <w:highlight w:val="none"/>
          <w:lang w:val="zh-CN"/>
        </w:rPr>
        <w:t>）。甲方通过采购乙方专项运营服务，委托乙方承担该</w:t>
      </w:r>
      <w:r>
        <w:rPr>
          <w:rFonts w:hint="eastAsia" w:ascii="仿宋_GB2312" w:hAnsi="仿宋_GB2312" w:cs="仿宋_GB2312"/>
          <w:color w:val="auto"/>
          <w:sz w:val="32"/>
          <w:highlight w:val="none"/>
          <w:lang w:val="en-US" w:eastAsia="zh-CN"/>
        </w:rPr>
        <w:t>科创园</w:t>
      </w:r>
      <w:r>
        <w:rPr>
          <w:rFonts w:hint="eastAsia" w:ascii="仿宋_GB2312" w:hAnsi="仿宋_GB2312" w:cs="仿宋_GB2312"/>
          <w:color w:val="auto"/>
          <w:sz w:val="32"/>
          <w:highlight w:val="none"/>
          <w:lang w:val="zh-CN"/>
        </w:rPr>
        <w:t>的招商、运营与产业服务体系搭建工作，以推动</w:t>
      </w:r>
      <w:r>
        <w:rPr>
          <w:rFonts w:hint="eastAsia" w:ascii="仿宋_GB2312" w:hAnsi="仿宋_GB2312" w:cs="仿宋_GB2312"/>
          <w:color w:val="auto"/>
          <w:sz w:val="32"/>
          <w:highlight w:val="none"/>
          <w:lang w:val="en-US" w:eastAsia="zh-CN"/>
        </w:rPr>
        <w:t>科创园</w:t>
      </w:r>
      <w:r>
        <w:rPr>
          <w:rFonts w:hint="eastAsia" w:ascii="仿宋_GB2312" w:hAnsi="仿宋_GB2312" w:cs="仿宋_GB2312"/>
          <w:color w:val="auto"/>
          <w:sz w:val="32"/>
          <w:highlight w:val="none"/>
          <w:lang w:val="zh-CN"/>
        </w:rPr>
        <w:t>建设成为产业特色鲜明、创新要素集聚、服务功能完善的国家级科创平台，实现区域产业升级与创新发展目标。</w:t>
      </w:r>
      <w:r>
        <w:rPr>
          <w:rFonts w:hint="eastAsia" w:ascii="仿宋_GB2312" w:hAnsi="仿宋_GB2312" w:cs="仿宋_GB2312"/>
          <w:color w:val="auto"/>
          <w:sz w:val="32"/>
          <w:highlight w:val="none"/>
        </w:rPr>
        <w:t>为贯彻落实习近平总书记在庆祝海南建省办经济特区30周年大会上的讲话精神和《海南自由贸易港建设总体方案》文件精神，加快推进海南自由贸易港建设，对标世界最高开放形态，推动海口江东新区高标准建设、高质量发展</w:t>
      </w:r>
      <w:r>
        <w:rPr>
          <w:rFonts w:hint="eastAsia" w:ascii="仿宋_GB2312" w:hAnsi="仿宋_GB2312" w:cs="仿宋_GB2312"/>
          <w:color w:val="auto"/>
          <w:sz w:val="32"/>
          <w:highlight w:val="none"/>
          <w:lang w:val="en-US" w:eastAsia="zh-CN"/>
        </w:rPr>
        <w:t>科学技术创新</w:t>
      </w:r>
      <w:r>
        <w:rPr>
          <w:rFonts w:hint="eastAsia" w:ascii="仿宋_GB2312" w:hAnsi="仿宋_GB2312" w:cs="仿宋_GB2312"/>
          <w:color w:val="auto"/>
          <w:sz w:val="32"/>
          <w:highlight w:val="none"/>
        </w:rPr>
        <w:t>产业。经甲、乙双方友好协商，在平等互利、诚实信用、共谋发展的原则基础上，双方达成如下合作协议：</w:t>
      </w:r>
    </w:p>
    <w:p w14:paraId="196FD52F">
      <w:pPr>
        <w:adjustRightInd w:val="0"/>
        <w:spacing w:line="560" w:lineRule="exact"/>
        <w:ind w:firstLine="640" w:firstLineChars="200"/>
        <w:rPr>
          <w:rFonts w:hint="eastAsia" w:ascii="黑体" w:hAnsi="黑体" w:eastAsia="黑体" w:cs="黑体"/>
          <w:color w:val="auto"/>
          <w:highlight w:val="none"/>
        </w:rPr>
      </w:pPr>
      <w:r>
        <w:rPr>
          <w:rFonts w:hint="eastAsia" w:ascii="黑体" w:hAnsi="黑体" w:eastAsia="黑体" w:cs="黑体"/>
          <w:color w:val="auto"/>
          <w:highlight w:val="none"/>
        </w:rPr>
        <w:t>一、合作内容</w:t>
      </w:r>
    </w:p>
    <w:p w14:paraId="2CC5092E">
      <w:pPr>
        <w:pStyle w:val="25"/>
        <w:spacing w:line="560" w:lineRule="exact"/>
        <w:ind w:firstLine="482"/>
        <w:rPr>
          <w:rFonts w:hint="eastAsia" w:ascii="楷体" w:hAnsi="楷体" w:eastAsia="楷体" w:cs="楷体"/>
          <w:b/>
          <w:bCs/>
          <w:color w:val="auto"/>
          <w:spacing w:val="-13"/>
          <w:position w:val="1"/>
          <w:sz w:val="32"/>
          <w:highlight w:val="none"/>
        </w:rPr>
      </w:pPr>
      <w:r>
        <w:rPr>
          <w:rFonts w:hint="eastAsia" w:ascii="楷体" w:hAnsi="楷体" w:eastAsia="楷体" w:cs="楷体"/>
          <w:b/>
          <w:bCs/>
          <w:color w:val="auto"/>
          <w:spacing w:val="-13"/>
          <w:position w:val="1"/>
          <w:sz w:val="32"/>
          <w:highlight w:val="none"/>
        </w:rPr>
        <w:t>（一）落地产业</w:t>
      </w:r>
    </w:p>
    <w:p w14:paraId="191BF0F0">
      <w:pPr>
        <w:pStyle w:val="25"/>
        <w:spacing w:line="560" w:lineRule="exact"/>
        <w:ind w:firstLine="482"/>
        <w:rPr>
          <w:rFonts w:hint="eastAsia" w:ascii="宋体" w:hAnsi="宋体" w:cs="宋体"/>
          <w:color w:val="auto"/>
          <w:sz w:val="32"/>
          <w:szCs w:val="40"/>
          <w:highlight w:val="none"/>
        </w:rPr>
      </w:pPr>
      <w:r>
        <w:rPr>
          <w:rFonts w:hint="eastAsia" w:ascii="宋体" w:hAnsi="宋体" w:cs="宋体"/>
          <w:color w:val="auto"/>
          <w:sz w:val="32"/>
          <w:szCs w:val="40"/>
          <w:highlight w:val="none"/>
        </w:rPr>
        <w:t>甲方拟在海口江东新区</w:t>
      </w:r>
      <w:r>
        <w:rPr>
          <w:rFonts w:hint="eastAsia" w:ascii="宋体" w:hAnsi="宋体" w:cs="宋体"/>
          <w:color w:val="auto"/>
          <w:sz w:val="32"/>
          <w:szCs w:val="40"/>
          <w:highlight w:val="none"/>
          <w:lang w:val="en-US" w:eastAsia="zh-CN"/>
        </w:rPr>
        <w:t>依托江东发展大厦和江东天地项目载体</w:t>
      </w:r>
      <w:r>
        <w:rPr>
          <w:rFonts w:hint="eastAsia" w:ascii="宋体" w:hAnsi="宋体" w:cs="宋体"/>
          <w:color w:val="auto"/>
          <w:sz w:val="32"/>
          <w:szCs w:val="40"/>
          <w:highlight w:val="none"/>
        </w:rPr>
        <w:t>建设</w:t>
      </w:r>
      <w:r>
        <w:rPr>
          <w:rFonts w:hint="eastAsia" w:ascii="宋体" w:hAnsi="宋体" w:cs="宋体"/>
          <w:color w:val="auto"/>
          <w:sz w:val="32"/>
          <w:szCs w:val="40"/>
          <w:highlight w:val="none"/>
          <w:lang w:val="en-US" w:eastAsia="zh-CN"/>
        </w:rPr>
        <w:t>约12,000㎡的</w:t>
      </w:r>
      <w:r>
        <w:rPr>
          <w:rFonts w:hint="eastAsia" w:ascii="宋体" w:hAnsi="宋体" w:cs="宋体"/>
          <w:color w:val="auto"/>
          <w:sz w:val="32"/>
          <w:szCs w:val="40"/>
          <w:highlight w:val="none"/>
        </w:rPr>
        <w:t>江东新区科创园，并委托乙方提供开展以下服务</w:t>
      </w:r>
      <w:r>
        <w:rPr>
          <w:rFonts w:hint="eastAsia" w:ascii="宋体" w:hAnsi="宋体" w:cs="宋体"/>
          <w:color w:val="auto"/>
          <w:sz w:val="32"/>
          <w:szCs w:val="40"/>
          <w:highlight w:val="none"/>
          <w:lang w:eastAsia="zh-CN"/>
        </w:rPr>
        <w:t>：</w:t>
      </w:r>
    </w:p>
    <w:p w14:paraId="63B44849">
      <w:pPr>
        <w:pStyle w:val="25"/>
        <w:spacing w:line="560" w:lineRule="exact"/>
        <w:ind w:firstLine="480"/>
        <w:rPr>
          <w:rFonts w:hint="eastAsia" w:ascii="宋体" w:hAnsi="宋体" w:cs="宋体"/>
          <w:color w:val="auto"/>
          <w:sz w:val="32"/>
          <w:szCs w:val="40"/>
          <w:highlight w:val="none"/>
        </w:rPr>
      </w:pPr>
      <w:r>
        <w:rPr>
          <w:rFonts w:hint="eastAsia" w:ascii="宋体" w:hAnsi="宋体" w:cs="宋体"/>
          <w:color w:val="auto"/>
          <w:sz w:val="32"/>
          <w:szCs w:val="40"/>
          <w:highlight w:val="none"/>
          <w:lang w:eastAsia="zh"/>
        </w:rPr>
        <w:t>1</w:t>
      </w:r>
      <w:r>
        <w:rPr>
          <w:rFonts w:hint="eastAsia" w:ascii="宋体" w:hAnsi="宋体" w:cs="宋体"/>
          <w:color w:val="auto"/>
          <w:sz w:val="32"/>
          <w:szCs w:val="40"/>
          <w:highlight w:val="none"/>
        </w:rPr>
        <w:t>. 围绕4+X产业方向，打造一个融合科技创新、产业升级和高质量发展的城市科创地标，建成江东新区产业生态圈的驱动要素，通过引进一批具备特色和发展潜力的总部型、科技型、创新型、人才型企业，以“产业培育和产业投资”的双轮驱动模式，将江东新区科创园平台建设成一个集聚科技创新力量的国家级创新平台和企业培育平台。</w:t>
      </w:r>
    </w:p>
    <w:p w14:paraId="3729BC68">
      <w:pPr>
        <w:pStyle w:val="25"/>
        <w:spacing w:line="560" w:lineRule="exact"/>
        <w:ind w:firstLine="480"/>
        <w:rPr>
          <w:rFonts w:hint="eastAsia" w:ascii="宋体" w:hAnsi="宋体" w:eastAsia="仿宋_GB2312" w:cs="宋体"/>
          <w:color w:val="auto"/>
          <w:sz w:val="32"/>
          <w:szCs w:val="40"/>
          <w:highlight w:val="none"/>
          <w:lang w:eastAsia="zh-CN"/>
        </w:rPr>
      </w:pPr>
      <w:r>
        <w:rPr>
          <w:rFonts w:hint="eastAsia" w:ascii="宋体" w:hAnsi="宋体" w:cs="宋体"/>
          <w:color w:val="auto"/>
          <w:sz w:val="32"/>
          <w:szCs w:val="40"/>
          <w:highlight w:val="none"/>
          <w:lang w:eastAsia="zh"/>
        </w:rPr>
        <w:t>2</w:t>
      </w:r>
      <w:r>
        <w:rPr>
          <w:rFonts w:hint="eastAsia" w:ascii="宋体" w:hAnsi="宋体" w:cs="宋体"/>
          <w:color w:val="auto"/>
          <w:sz w:val="32"/>
          <w:szCs w:val="40"/>
          <w:highlight w:val="none"/>
        </w:rPr>
        <w:t>.该项目建设五年期预计实现累计产值20亿元（第一年1亿元，第二年3亿元，第</w:t>
      </w:r>
      <w:r>
        <w:rPr>
          <w:rFonts w:hint="eastAsia" w:ascii="宋体" w:hAnsi="宋体" w:cs="宋体"/>
          <w:color w:val="auto"/>
          <w:sz w:val="32"/>
          <w:szCs w:val="40"/>
          <w:highlight w:val="none"/>
          <w:lang w:val="en-US" w:eastAsia="zh-CN"/>
        </w:rPr>
        <w:t>三</w:t>
      </w:r>
      <w:r>
        <w:rPr>
          <w:rFonts w:hint="eastAsia" w:ascii="宋体" w:hAnsi="宋体" w:cs="宋体"/>
          <w:color w:val="auto"/>
          <w:sz w:val="32"/>
          <w:szCs w:val="40"/>
          <w:highlight w:val="none"/>
        </w:rPr>
        <w:t>年5亿元，第</w:t>
      </w:r>
      <w:r>
        <w:rPr>
          <w:rFonts w:hint="eastAsia" w:ascii="宋体" w:hAnsi="宋体" w:cs="宋体"/>
          <w:color w:val="auto"/>
          <w:sz w:val="32"/>
          <w:szCs w:val="40"/>
          <w:highlight w:val="none"/>
          <w:lang w:val="en-US" w:eastAsia="zh-CN"/>
        </w:rPr>
        <w:t>四</w:t>
      </w:r>
      <w:r>
        <w:rPr>
          <w:rFonts w:hint="eastAsia" w:ascii="宋体" w:hAnsi="宋体" w:cs="宋体"/>
          <w:color w:val="auto"/>
          <w:sz w:val="32"/>
          <w:szCs w:val="40"/>
          <w:highlight w:val="none"/>
        </w:rPr>
        <w:t>年5亿元，第</w:t>
      </w:r>
      <w:r>
        <w:rPr>
          <w:rFonts w:hint="eastAsia" w:ascii="宋体" w:hAnsi="宋体" w:cs="宋体"/>
          <w:color w:val="auto"/>
          <w:sz w:val="32"/>
          <w:szCs w:val="40"/>
          <w:highlight w:val="none"/>
          <w:lang w:val="en-US" w:eastAsia="zh-CN"/>
        </w:rPr>
        <w:t>五</w:t>
      </w:r>
      <w:r>
        <w:rPr>
          <w:rFonts w:hint="eastAsia" w:ascii="宋体" w:hAnsi="宋体" w:cs="宋体"/>
          <w:color w:val="auto"/>
          <w:sz w:val="32"/>
          <w:szCs w:val="40"/>
          <w:highlight w:val="none"/>
        </w:rPr>
        <w:t>年6亿元），五年税收累计6000万元，</w:t>
      </w:r>
      <w:r>
        <w:rPr>
          <w:rFonts w:hint="eastAsia" w:ascii="仿宋_GB2312" w:hAnsi="Times New Roman" w:cs="仿宋_GB2312"/>
          <w:color w:val="auto"/>
          <w:sz w:val="32"/>
          <w:szCs w:val="32"/>
          <w:highlight w:val="none"/>
          <w:lang w:bidi="ar"/>
        </w:rPr>
        <w:t>五年累计引进企业</w:t>
      </w:r>
      <w:r>
        <w:rPr>
          <w:rFonts w:hint="eastAsia" w:ascii="仿宋_GB2312" w:hAnsi="Times New Roman" w:cs="仿宋_GB2312"/>
          <w:color w:val="auto"/>
          <w:sz w:val="32"/>
          <w:szCs w:val="32"/>
          <w:highlight w:val="none"/>
          <w:lang w:val="en-US" w:eastAsia="zh-CN" w:bidi="ar"/>
        </w:rPr>
        <w:t>超60</w:t>
      </w:r>
      <w:r>
        <w:rPr>
          <w:rFonts w:hint="eastAsia" w:ascii="仿宋_GB2312" w:hAnsi="Times New Roman" w:cs="仿宋_GB2312"/>
          <w:color w:val="auto"/>
          <w:sz w:val="32"/>
          <w:szCs w:val="32"/>
          <w:highlight w:val="none"/>
          <w:lang w:bidi="ar"/>
        </w:rPr>
        <w:t>家，其中明星企业不低于</w:t>
      </w:r>
      <w:r>
        <w:rPr>
          <w:rFonts w:hint="eastAsia" w:ascii="仿宋_GB2312" w:hAnsi="Times New Roman" w:cs="仿宋_GB2312"/>
          <w:color w:val="auto"/>
          <w:sz w:val="32"/>
          <w:szCs w:val="32"/>
          <w:highlight w:val="none"/>
          <w:lang w:val="en-US" w:eastAsia="zh-CN" w:bidi="ar"/>
        </w:rPr>
        <w:t>6</w:t>
      </w:r>
      <w:r>
        <w:rPr>
          <w:rFonts w:hint="eastAsia" w:ascii="仿宋_GB2312" w:hAnsi="Times New Roman" w:cs="仿宋_GB2312"/>
          <w:color w:val="auto"/>
          <w:sz w:val="32"/>
          <w:szCs w:val="32"/>
          <w:highlight w:val="none"/>
          <w:lang w:bidi="ar"/>
        </w:rPr>
        <w:t>家，</w:t>
      </w:r>
      <w:r>
        <w:rPr>
          <w:rFonts w:hint="eastAsia" w:ascii="仿宋_GB2312" w:eastAsia="仿宋_GB2312" w:cs="仿宋_GB2312"/>
          <w:b w:val="0"/>
          <w:bCs w:val="0"/>
          <w:color w:val="auto"/>
          <w:sz w:val="32"/>
          <w:szCs w:val="32"/>
          <w:highlight w:val="none"/>
          <w:lang w:val="en-US" w:eastAsia="zh-CN" w:bidi="ar"/>
        </w:rPr>
        <w:t>累计就业人数超600人</w:t>
      </w:r>
      <w:r>
        <w:rPr>
          <w:rFonts w:hint="eastAsia" w:ascii="宋体" w:hAnsi="宋体" w:cs="宋体"/>
          <w:color w:val="auto"/>
          <w:sz w:val="32"/>
          <w:szCs w:val="40"/>
          <w:highlight w:val="none"/>
        </w:rPr>
        <w:t>，累计各类创新活动组织开展50场。</w:t>
      </w:r>
      <w:r>
        <w:rPr>
          <w:rFonts w:hint="eastAsia" w:ascii="宋体" w:hAnsi="宋体" w:cs="宋体"/>
          <w:color w:val="auto"/>
          <w:sz w:val="32"/>
          <w:szCs w:val="40"/>
          <w:highlight w:val="none"/>
          <w:lang w:eastAsia="zh-CN"/>
        </w:rPr>
        <w:t>（</w:t>
      </w:r>
      <w:r>
        <w:rPr>
          <w:rFonts w:hint="eastAsia" w:ascii="宋体" w:hAnsi="宋体" w:cs="宋体"/>
          <w:color w:val="auto"/>
          <w:sz w:val="32"/>
          <w:szCs w:val="40"/>
          <w:highlight w:val="none"/>
          <w:lang w:val="en-US" w:eastAsia="zh-CN"/>
        </w:rPr>
        <w:t>详见附件</w:t>
      </w:r>
      <w:r>
        <w:rPr>
          <w:rFonts w:hint="eastAsia" w:ascii="宋体" w:hAnsi="宋体" w:cs="宋体"/>
          <w:color w:val="auto"/>
          <w:sz w:val="32"/>
          <w:szCs w:val="40"/>
          <w:highlight w:val="none"/>
          <w:lang w:eastAsia="zh-CN"/>
        </w:rPr>
        <w:t>）</w:t>
      </w:r>
    </w:p>
    <w:p w14:paraId="279A664A">
      <w:pPr>
        <w:pStyle w:val="27"/>
        <w:rPr>
          <w:rFonts w:hint="eastAsia" w:ascii="宋体" w:hAnsi="宋体" w:cs="宋体"/>
          <w:b/>
          <w:bCs/>
          <w:color w:val="auto"/>
          <w:sz w:val="24"/>
          <w:highlight w:val="none"/>
        </w:rPr>
      </w:pPr>
      <w:r>
        <w:rPr>
          <w:rFonts w:hint="eastAsia" w:ascii="楷体" w:hAnsi="楷体" w:eastAsia="楷体" w:cs="楷体"/>
          <w:b/>
          <w:bCs/>
          <w:color w:val="auto"/>
          <w:highlight w:val="none"/>
        </w:rPr>
        <w:t xml:space="preserve">   </w:t>
      </w:r>
      <w:r>
        <w:rPr>
          <w:rFonts w:hint="eastAsia" w:ascii="楷体_GB2312" w:hAnsi="楷体_GB2312" w:eastAsia="楷体_GB2312" w:cs="楷体_GB2312"/>
          <w:b/>
          <w:bCs/>
          <w:color w:val="auto"/>
          <w:sz w:val="32"/>
          <w:szCs w:val="40"/>
          <w:highlight w:val="none"/>
        </w:rPr>
        <w:t>（二）</w:t>
      </w:r>
      <w:r>
        <w:rPr>
          <w:rFonts w:hint="eastAsia" w:ascii="楷体_GB2312" w:hAnsi="楷体_GB2312" w:eastAsia="楷体_GB2312" w:cs="楷体_GB2312"/>
          <w:b/>
          <w:bCs/>
          <w:color w:val="auto"/>
          <w:sz w:val="32"/>
          <w:szCs w:val="40"/>
          <w:highlight w:val="none"/>
          <w:lang w:val="en-US" w:eastAsia="zh-CN"/>
        </w:rPr>
        <w:t>运营</w:t>
      </w:r>
      <w:r>
        <w:rPr>
          <w:rFonts w:hint="eastAsia" w:ascii="楷体_GB2312" w:hAnsi="楷体_GB2312" w:eastAsia="楷体_GB2312" w:cs="楷体_GB2312"/>
          <w:b/>
          <w:bCs/>
          <w:color w:val="auto"/>
          <w:sz w:val="32"/>
          <w:szCs w:val="40"/>
          <w:highlight w:val="none"/>
        </w:rPr>
        <w:t>主体</w:t>
      </w:r>
    </w:p>
    <w:p w14:paraId="4290872D">
      <w:pPr>
        <w:pStyle w:val="27"/>
        <w:ind w:firstLine="640" w:firstLineChars="200"/>
        <w:rPr>
          <w:color w:val="auto"/>
          <w:sz w:val="40"/>
          <w:szCs w:val="40"/>
          <w:highlight w:val="none"/>
          <w:lang w:val="zh-CN"/>
        </w:rPr>
      </w:pPr>
      <w:r>
        <w:rPr>
          <w:rFonts w:hint="eastAsia" w:ascii="宋体" w:hAnsi="宋体" w:cs="宋体"/>
          <w:color w:val="auto"/>
          <w:sz w:val="32"/>
          <w:szCs w:val="40"/>
          <w:highlight w:val="none"/>
        </w:rPr>
        <w:t>乙方在签约后一个月内在海口江东新区设立具有独立法人资格的全资控股的项目运营公司，具体公司名称以在当地市场监管部门注册登记为准。甲乙双方同意待乙方项目运营公司成立后，本合同约定的乙方的权利义务全部转移给新公司，待项目公司成立后，乙方和项目公司通过</w:t>
      </w:r>
      <w:r>
        <w:rPr>
          <w:rFonts w:hint="eastAsia" w:ascii="宋体" w:hAnsi="宋体" w:cs="宋体"/>
          <w:color w:val="auto"/>
          <w:sz w:val="32"/>
          <w:szCs w:val="40"/>
          <w:highlight w:val="none"/>
          <w:lang w:val="en-US" w:eastAsia="zh-CN"/>
        </w:rPr>
        <w:t>权利义务主体转移协议</w:t>
      </w:r>
      <w:r>
        <w:rPr>
          <w:rFonts w:hint="eastAsia" w:ascii="宋体" w:hAnsi="宋体" w:cs="宋体"/>
          <w:color w:val="auto"/>
          <w:sz w:val="32"/>
          <w:szCs w:val="40"/>
          <w:highlight w:val="none"/>
        </w:rPr>
        <w:t>方式向甲方书面确认履行合同义务的主体。</w:t>
      </w:r>
    </w:p>
    <w:p w14:paraId="30A10E15">
      <w:pPr>
        <w:pStyle w:val="25"/>
        <w:numPr>
          <w:ilvl w:val="0"/>
          <w:numId w:val="1"/>
        </w:numPr>
        <w:spacing w:line="560" w:lineRule="exact"/>
        <w:ind w:firstLine="482"/>
        <w:rPr>
          <w:rFonts w:hint="eastAsia" w:ascii="楷体_GB2312" w:hAnsi="楷体_GB2312" w:eastAsia="楷体_GB2312" w:cs="楷体_GB2312"/>
          <w:b/>
          <w:bCs/>
          <w:color w:val="auto"/>
          <w:sz w:val="32"/>
          <w:szCs w:val="40"/>
          <w:highlight w:val="none"/>
        </w:rPr>
      </w:pPr>
      <w:r>
        <w:rPr>
          <w:rFonts w:hint="eastAsia" w:ascii="楷体_GB2312" w:hAnsi="楷体_GB2312" w:eastAsia="楷体_GB2312" w:cs="楷体_GB2312"/>
          <w:b/>
          <w:bCs/>
          <w:color w:val="auto"/>
          <w:sz w:val="32"/>
          <w:szCs w:val="40"/>
          <w:highlight w:val="none"/>
        </w:rPr>
        <w:t>合作时间</w:t>
      </w:r>
    </w:p>
    <w:p w14:paraId="0722D456">
      <w:pPr>
        <w:pStyle w:val="25"/>
        <w:numPr>
          <w:ilvl w:val="-1"/>
          <w:numId w:val="0"/>
        </w:numPr>
        <w:spacing w:line="560" w:lineRule="exact"/>
        <w:ind w:firstLine="64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rPr>
        <w:t>本合同期限自</w:t>
      </w:r>
      <w:r>
        <w:rPr>
          <w:rFonts w:hint="eastAsia" w:ascii="仿宋_GB2312" w:hAnsi="仿宋_GB2312" w:cs="仿宋_GB2312"/>
          <w:color w:val="auto"/>
          <w:sz w:val="32"/>
          <w:szCs w:val="32"/>
          <w:highlight w:val="none"/>
          <w:lang w:val="en-US" w:eastAsia="zh-CN"/>
        </w:rPr>
        <w:t>本合同签署生效之日</w:t>
      </w:r>
      <w:r>
        <w:rPr>
          <w:rFonts w:hint="eastAsia" w:ascii="仿宋_GB2312" w:hAnsi="仿宋_GB2312" w:cs="仿宋_GB2312"/>
          <w:color w:val="auto"/>
          <w:sz w:val="32"/>
          <w:szCs w:val="32"/>
          <w:highlight w:val="none"/>
        </w:rPr>
        <w:t>至20</w:t>
      </w:r>
      <w:r>
        <w:rPr>
          <w:rFonts w:hint="eastAsia" w:ascii="仿宋_GB2312" w:hAnsi="仿宋_GB2312" w:cs="仿宋_GB2312"/>
          <w:color w:val="auto"/>
          <w:sz w:val="32"/>
          <w:szCs w:val="32"/>
          <w:highlight w:val="none"/>
          <w:lang w:val="en-US" w:eastAsia="zh-CN"/>
        </w:rPr>
        <w:t>31</w:t>
      </w:r>
      <w:r>
        <w:rPr>
          <w:rFonts w:hint="eastAsia" w:ascii="仿宋_GB2312" w:hAnsi="仿宋_GB2312" w:cs="仿宋_GB2312"/>
          <w:color w:val="auto"/>
          <w:sz w:val="32"/>
          <w:szCs w:val="32"/>
          <w:highlight w:val="none"/>
        </w:rPr>
        <w:t>年</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rPr>
        <w:t>月</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rPr>
        <w:t>日止。</w:t>
      </w:r>
      <w:r>
        <w:rPr>
          <w:rFonts w:hint="eastAsia" w:ascii="仿宋_GB2312" w:hAnsi="仿宋_GB2312" w:cs="仿宋_GB2312"/>
          <w:color w:val="auto"/>
          <w:sz w:val="32"/>
          <w:szCs w:val="40"/>
          <w:highlight w:val="none"/>
          <w:lang w:val="zh-CN"/>
        </w:rPr>
        <w:t>乙方承诺自本协议签署之日起</w:t>
      </w:r>
      <w:r>
        <w:rPr>
          <w:rFonts w:hint="eastAsia" w:ascii="仿宋_GB2312" w:hAnsi="仿宋_GB2312" w:cs="仿宋_GB2312"/>
          <w:color w:val="auto"/>
          <w:sz w:val="32"/>
          <w:szCs w:val="40"/>
          <w:highlight w:val="none"/>
          <w:lang w:val="en-US" w:eastAsia="zh-CN"/>
        </w:rPr>
        <w:t>且甲方交付临时载体后</w:t>
      </w:r>
      <w:r>
        <w:rPr>
          <w:rFonts w:hint="eastAsia" w:ascii="仿宋_GB2312" w:hAnsi="仿宋_GB2312" w:cs="仿宋_GB2312"/>
          <w:color w:val="auto"/>
          <w:sz w:val="32"/>
          <w:szCs w:val="40"/>
          <w:highlight w:val="none"/>
          <w:lang w:val="zh-CN"/>
        </w:rPr>
        <w:t>，</w:t>
      </w:r>
      <w:r>
        <w:rPr>
          <w:rFonts w:hint="eastAsia" w:ascii="仿宋_GB2312" w:hAnsi="仿宋_GB2312" w:cs="仿宋_GB2312"/>
          <w:color w:val="auto"/>
          <w:sz w:val="32"/>
          <w:szCs w:val="40"/>
          <w:highlight w:val="none"/>
        </w:rPr>
        <w:t>应</w:t>
      </w:r>
      <w:r>
        <w:rPr>
          <w:rFonts w:hint="eastAsia" w:ascii="仿宋_GB2312" w:hAnsi="仿宋_GB2312" w:cs="仿宋_GB2312"/>
          <w:color w:val="auto"/>
          <w:sz w:val="32"/>
          <w:szCs w:val="40"/>
          <w:highlight w:val="none"/>
          <w:lang w:val="zh-CN"/>
        </w:rPr>
        <w:t>于</w:t>
      </w:r>
      <w:r>
        <w:rPr>
          <w:rFonts w:hint="eastAsia" w:ascii="仿宋_GB2312" w:hAnsi="仿宋_GB2312" w:cs="仿宋_GB2312"/>
          <w:color w:val="auto"/>
          <w:sz w:val="32"/>
          <w:szCs w:val="40"/>
          <w:highlight w:val="none"/>
        </w:rPr>
        <w:t>2026</w:t>
      </w:r>
      <w:r>
        <w:rPr>
          <w:rFonts w:hint="eastAsia" w:ascii="仿宋_GB2312" w:hAnsi="仿宋_GB2312" w:cs="仿宋_GB2312"/>
          <w:color w:val="auto"/>
          <w:sz w:val="32"/>
          <w:szCs w:val="40"/>
          <w:highlight w:val="none"/>
          <w:lang w:val="zh-CN"/>
        </w:rPr>
        <w:t>年</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40"/>
          <w:highlight w:val="none"/>
          <w:lang w:val="zh-CN"/>
        </w:rPr>
        <w:t>月</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40"/>
          <w:highlight w:val="none"/>
          <w:lang w:val="zh-CN"/>
        </w:rPr>
        <w:t>日前开展实质性运营</w:t>
      </w:r>
      <w:r>
        <w:rPr>
          <w:rFonts w:hint="eastAsia" w:ascii="仿宋_GB2312" w:hAnsi="仿宋_GB2312" w:cs="仿宋_GB2312"/>
          <w:color w:val="auto"/>
          <w:sz w:val="32"/>
          <w:szCs w:val="40"/>
          <w:highlight w:val="none"/>
        </w:rPr>
        <w:t>并完成项目负责人到位且正式开始前置招商工作</w:t>
      </w:r>
      <w:r>
        <w:rPr>
          <w:rFonts w:hint="eastAsia" w:ascii="仿宋_GB2312" w:hAnsi="仿宋_GB2312" w:cs="仿宋_GB2312"/>
          <w:color w:val="auto"/>
          <w:sz w:val="32"/>
          <w:szCs w:val="40"/>
          <w:highlight w:val="none"/>
          <w:lang w:val="zh-CN"/>
        </w:rPr>
        <w:t>。每年</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40"/>
          <w:highlight w:val="none"/>
          <w:lang w:val="zh-CN"/>
        </w:rPr>
        <w:t>月</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40"/>
          <w:highlight w:val="none"/>
          <w:lang w:val="zh-CN"/>
        </w:rPr>
        <w:t>日至下一年度</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40"/>
          <w:highlight w:val="none"/>
          <w:lang w:val="zh-CN"/>
        </w:rPr>
        <w:t>月</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40"/>
          <w:highlight w:val="none"/>
          <w:lang w:val="zh-CN"/>
        </w:rPr>
        <w:t>日为一个运营年度（即“考核年度”）</w:t>
      </w:r>
      <w:r>
        <w:rPr>
          <w:rFonts w:hint="eastAsia" w:ascii="仿宋_GB2312" w:hAnsi="仿宋_GB2312" w:cs="仿宋_GB2312"/>
          <w:color w:val="auto"/>
          <w:sz w:val="32"/>
          <w:szCs w:val="32"/>
          <w:highlight w:val="none"/>
        </w:rPr>
        <w:t>。若载体实际交付日晚于2026年</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rPr>
        <w:t>月</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rPr>
        <w:t>日，则</w:t>
      </w:r>
      <w:r>
        <w:rPr>
          <w:rFonts w:hint="eastAsia" w:ascii="仿宋_GB2312" w:hAnsi="仿宋_GB2312" w:cs="仿宋_GB2312"/>
          <w:color w:val="auto"/>
          <w:sz w:val="32"/>
          <w:szCs w:val="32"/>
          <w:highlight w:val="none"/>
          <w:lang w:val="en-US" w:eastAsia="zh-CN"/>
        </w:rPr>
        <w:t>甲乙双方以书面形式确认</w:t>
      </w:r>
      <w:r>
        <w:rPr>
          <w:rFonts w:hint="eastAsia" w:ascii="仿宋_GB2312" w:hAnsi="仿宋_GB2312" w:cs="仿宋_GB2312"/>
          <w:color w:val="auto"/>
          <w:sz w:val="32"/>
          <w:szCs w:val="32"/>
          <w:highlight w:val="none"/>
        </w:rPr>
        <w:t>考核开始日和结束日</w:t>
      </w:r>
      <w:r>
        <w:rPr>
          <w:rFonts w:hint="eastAsia" w:ascii="仿宋_GB2312" w:hAnsi="仿宋_GB2312" w:cs="仿宋_GB2312"/>
          <w:color w:val="auto"/>
          <w:sz w:val="32"/>
          <w:szCs w:val="32"/>
          <w:highlight w:val="none"/>
          <w:lang w:val="en-US" w:eastAsia="zh-CN"/>
        </w:rPr>
        <w:t>按照实际交付的日期向后</w:t>
      </w:r>
      <w:r>
        <w:rPr>
          <w:rFonts w:hint="eastAsia" w:ascii="仿宋_GB2312" w:hAnsi="仿宋_GB2312" w:cs="仿宋_GB2312"/>
          <w:color w:val="auto"/>
          <w:sz w:val="32"/>
          <w:szCs w:val="32"/>
          <w:highlight w:val="none"/>
        </w:rPr>
        <w:t>顺延</w:t>
      </w:r>
      <w:r>
        <w:rPr>
          <w:rFonts w:hint="eastAsia" w:ascii="仿宋_GB2312" w:hAnsi="仿宋_GB2312" w:cs="仿宋_GB2312"/>
          <w:color w:val="auto"/>
          <w:sz w:val="32"/>
          <w:szCs w:val="32"/>
          <w:highlight w:val="none"/>
          <w:lang w:eastAsia="zh-CN"/>
        </w:rPr>
        <w:t>。</w:t>
      </w:r>
    </w:p>
    <w:p w14:paraId="483B5FEA">
      <w:pPr>
        <w:spacing w:before="0" w:beforeLines="0" w:line="560" w:lineRule="exact"/>
        <w:ind w:firstLine="643" w:firstLineChars="200"/>
        <w:rPr>
          <w:rFonts w:hint="eastAsia" w:ascii="楷体_GB2312" w:hAnsi="楷体_GB2312" w:eastAsia="楷体_GB2312" w:cs="楷体_GB2312"/>
          <w:b/>
          <w:bCs/>
          <w:color w:val="auto"/>
          <w:sz w:val="32"/>
          <w:szCs w:val="40"/>
          <w:highlight w:val="none"/>
        </w:rPr>
      </w:pPr>
      <w:r>
        <w:rPr>
          <w:rFonts w:hint="eastAsia" w:ascii="楷体_GB2312" w:hAnsi="楷体_GB2312" w:eastAsia="楷体_GB2312" w:cs="楷体_GB2312"/>
          <w:b/>
          <w:bCs/>
          <w:color w:val="auto"/>
          <w:sz w:val="32"/>
          <w:szCs w:val="40"/>
          <w:highlight w:val="none"/>
        </w:rPr>
        <w:t>（</w:t>
      </w:r>
      <w:r>
        <w:rPr>
          <w:rFonts w:hint="eastAsia" w:ascii="楷体_GB2312" w:hAnsi="楷体_GB2312" w:eastAsia="楷体_GB2312" w:cs="楷体_GB2312"/>
          <w:b/>
          <w:bCs/>
          <w:color w:val="auto"/>
          <w:sz w:val="32"/>
          <w:szCs w:val="40"/>
          <w:highlight w:val="none"/>
          <w:lang w:val="en-US" w:eastAsia="zh-CN"/>
        </w:rPr>
        <w:t>四</w:t>
      </w:r>
      <w:r>
        <w:rPr>
          <w:rFonts w:hint="eastAsia" w:ascii="楷体_GB2312" w:hAnsi="楷体_GB2312" w:eastAsia="楷体_GB2312" w:cs="楷体_GB2312"/>
          <w:b/>
          <w:bCs/>
          <w:color w:val="auto"/>
          <w:sz w:val="32"/>
          <w:szCs w:val="40"/>
          <w:highlight w:val="none"/>
        </w:rPr>
        <w:t>）合作目标</w:t>
      </w:r>
    </w:p>
    <w:tbl>
      <w:tblPr>
        <w:tblStyle w:val="11"/>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891"/>
        <w:gridCol w:w="1134"/>
        <w:gridCol w:w="1134"/>
        <w:gridCol w:w="1134"/>
        <w:gridCol w:w="1134"/>
        <w:gridCol w:w="1134"/>
        <w:gridCol w:w="850"/>
      </w:tblGrid>
      <w:tr w14:paraId="7672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7F239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类型</w:t>
            </w:r>
          </w:p>
        </w:tc>
        <w:tc>
          <w:tcPr>
            <w:tcW w:w="2891" w:type="dxa"/>
            <w:noWrap w:val="0"/>
            <w:vAlign w:val="center"/>
          </w:tcPr>
          <w:p w14:paraId="3D25207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US" w:eastAsia="zh-CN"/>
              </w:rPr>
              <w:t>具体内容</w:t>
            </w:r>
          </w:p>
        </w:tc>
        <w:tc>
          <w:tcPr>
            <w:tcW w:w="1134" w:type="dxa"/>
            <w:noWrap w:val="0"/>
            <w:vAlign w:val="center"/>
          </w:tcPr>
          <w:p w14:paraId="2868291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第一年</w:t>
            </w:r>
          </w:p>
        </w:tc>
        <w:tc>
          <w:tcPr>
            <w:tcW w:w="1134" w:type="dxa"/>
            <w:noWrap w:val="0"/>
            <w:vAlign w:val="center"/>
          </w:tcPr>
          <w:p w14:paraId="68DC5DE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第二年</w:t>
            </w:r>
          </w:p>
        </w:tc>
        <w:tc>
          <w:tcPr>
            <w:tcW w:w="1134" w:type="dxa"/>
            <w:noWrap w:val="0"/>
            <w:vAlign w:val="center"/>
          </w:tcPr>
          <w:p w14:paraId="0C04F83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第三年</w:t>
            </w:r>
          </w:p>
        </w:tc>
        <w:tc>
          <w:tcPr>
            <w:tcW w:w="1134" w:type="dxa"/>
            <w:noWrap w:val="0"/>
            <w:vAlign w:val="center"/>
          </w:tcPr>
          <w:p w14:paraId="22F8529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第四年</w:t>
            </w:r>
          </w:p>
        </w:tc>
        <w:tc>
          <w:tcPr>
            <w:tcW w:w="1134" w:type="dxa"/>
            <w:noWrap w:val="0"/>
            <w:vAlign w:val="center"/>
          </w:tcPr>
          <w:p w14:paraId="1390BF3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第五年</w:t>
            </w:r>
          </w:p>
        </w:tc>
        <w:tc>
          <w:tcPr>
            <w:tcW w:w="850" w:type="dxa"/>
            <w:noWrap w:val="0"/>
            <w:vAlign w:val="center"/>
          </w:tcPr>
          <w:p w14:paraId="603C6D5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分值</w:t>
            </w:r>
          </w:p>
        </w:tc>
      </w:tr>
      <w:tr w14:paraId="227D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BF5526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b/>
                <w:bCs/>
                <w:color w:val="auto"/>
                <w:kern w:val="0"/>
                <w:sz w:val="22"/>
                <w:szCs w:val="22"/>
                <w:highlight w:val="none"/>
                <w:lang w:val="en-SG"/>
              </w:rPr>
              <w:t>标准考核项</w:t>
            </w:r>
          </w:p>
        </w:tc>
      </w:tr>
      <w:tr w14:paraId="2665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restart"/>
            <w:noWrap w:val="0"/>
            <w:vAlign w:val="center"/>
          </w:tcPr>
          <w:p w14:paraId="46D08D7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国际化氛围建设</w:t>
            </w:r>
          </w:p>
        </w:tc>
        <w:tc>
          <w:tcPr>
            <w:tcW w:w="2891" w:type="dxa"/>
            <w:noWrap w:val="0"/>
            <w:vAlign w:val="center"/>
          </w:tcPr>
          <w:p w14:paraId="3961B6E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累计注册落地企业数</w:t>
            </w:r>
          </w:p>
          <w:p w14:paraId="54AF30D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（符合4+X方向）</w:t>
            </w:r>
          </w:p>
        </w:tc>
        <w:tc>
          <w:tcPr>
            <w:tcW w:w="1134" w:type="dxa"/>
            <w:noWrap w:val="0"/>
            <w:vAlign w:val="center"/>
          </w:tcPr>
          <w:p w14:paraId="18B4E1D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26967C7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30</w:t>
            </w:r>
          </w:p>
        </w:tc>
        <w:tc>
          <w:tcPr>
            <w:tcW w:w="1134" w:type="dxa"/>
            <w:noWrap w:val="0"/>
            <w:vAlign w:val="center"/>
          </w:tcPr>
          <w:p w14:paraId="6C6F399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40</w:t>
            </w:r>
          </w:p>
        </w:tc>
        <w:tc>
          <w:tcPr>
            <w:tcW w:w="1134" w:type="dxa"/>
            <w:noWrap w:val="0"/>
            <w:vAlign w:val="center"/>
          </w:tcPr>
          <w:p w14:paraId="25A538A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50</w:t>
            </w:r>
          </w:p>
        </w:tc>
        <w:tc>
          <w:tcPr>
            <w:tcW w:w="1134" w:type="dxa"/>
            <w:noWrap w:val="0"/>
            <w:vAlign w:val="center"/>
          </w:tcPr>
          <w:p w14:paraId="0297104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60</w:t>
            </w:r>
          </w:p>
        </w:tc>
        <w:tc>
          <w:tcPr>
            <w:tcW w:w="850" w:type="dxa"/>
            <w:noWrap w:val="0"/>
            <w:vAlign w:val="center"/>
          </w:tcPr>
          <w:p w14:paraId="77A6F11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30</w:t>
            </w:r>
          </w:p>
        </w:tc>
      </w:tr>
      <w:tr w14:paraId="0C2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3F30F0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68A4130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累计开展创新创业活动数</w:t>
            </w:r>
          </w:p>
        </w:tc>
        <w:tc>
          <w:tcPr>
            <w:tcW w:w="1134" w:type="dxa"/>
            <w:noWrap w:val="0"/>
            <w:vAlign w:val="center"/>
          </w:tcPr>
          <w:p w14:paraId="785B968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c>
          <w:tcPr>
            <w:tcW w:w="1134" w:type="dxa"/>
            <w:noWrap w:val="0"/>
            <w:vAlign w:val="center"/>
          </w:tcPr>
          <w:p w14:paraId="1F11F29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53F8BD9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30</w:t>
            </w:r>
          </w:p>
        </w:tc>
        <w:tc>
          <w:tcPr>
            <w:tcW w:w="1134" w:type="dxa"/>
            <w:noWrap w:val="0"/>
            <w:vAlign w:val="center"/>
          </w:tcPr>
          <w:p w14:paraId="22E3107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40</w:t>
            </w:r>
          </w:p>
        </w:tc>
        <w:tc>
          <w:tcPr>
            <w:tcW w:w="1134" w:type="dxa"/>
            <w:noWrap w:val="0"/>
            <w:vAlign w:val="center"/>
          </w:tcPr>
          <w:p w14:paraId="5AEF69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50</w:t>
            </w:r>
          </w:p>
        </w:tc>
        <w:tc>
          <w:tcPr>
            <w:tcW w:w="850" w:type="dxa"/>
            <w:noWrap w:val="0"/>
            <w:vAlign w:val="center"/>
          </w:tcPr>
          <w:p w14:paraId="3C827FE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6BAE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7126A5B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75459C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累计从业人数</w:t>
            </w:r>
          </w:p>
          <w:p w14:paraId="1D8DAE3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从业人数需符合管理局发布政策中定义的实质性办公企业人数或有关定义</w:t>
            </w:r>
            <w:r>
              <w:rPr>
                <w:rFonts w:hint="eastAsia" w:ascii="宋体" w:hAnsi="宋体" w:eastAsia="宋体" w:cs="宋体"/>
                <w:color w:val="auto"/>
                <w:kern w:val="0"/>
                <w:sz w:val="22"/>
                <w:szCs w:val="22"/>
                <w:highlight w:val="none"/>
                <w:lang w:val="en-SG" w:eastAsia="zh-CN"/>
              </w:rPr>
              <w:t>）</w:t>
            </w:r>
          </w:p>
        </w:tc>
        <w:tc>
          <w:tcPr>
            <w:tcW w:w="1134" w:type="dxa"/>
            <w:noWrap w:val="0"/>
            <w:vAlign w:val="center"/>
          </w:tcPr>
          <w:p w14:paraId="198AA8B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200</w:t>
            </w:r>
          </w:p>
        </w:tc>
        <w:tc>
          <w:tcPr>
            <w:tcW w:w="1134" w:type="dxa"/>
            <w:noWrap w:val="0"/>
            <w:vAlign w:val="center"/>
          </w:tcPr>
          <w:p w14:paraId="0FA7236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400</w:t>
            </w:r>
          </w:p>
        </w:tc>
        <w:tc>
          <w:tcPr>
            <w:tcW w:w="1134" w:type="dxa"/>
            <w:noWrap w:val="0"/>
            <w:vAlign w:val="center"/>
          </w:tcPr>
          <w:p w14:paraId="5B7A60B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500</w:t>
            </w:r>
          </w:p>
        </w:tc>
        <w:tc>
          <w:tcPr>
            <w:tcW w:w="1134" w:type="dxa"/>
            <w:noWrap w:val="0"/>
            <w:vAlign w:val="center"/>
          </w:tcPr>
          <w:p w14:paraId="5C279F2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600</w:t>
            </w:r>
          </w:p>
        </w:tc>
        <w:tc>
          <w:tcPr>
            <w:tcW w:w="1134" w:type="dxa"/>
            <w:noWrap w:val="0"/>
            <w:vAlign w:val="center"/>
          </w:tcPr>
          <w:p w14:paraId="21D720C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600</w:t>
            </w:r>
          </w:p>
        </w:tc>
        <w:tc>
          <w:tcPr>
            <w:tcW w:w="850" w:type="dxa"/>
            <w:noWrap w:val="0"/>
            <w:vAlign w:val="center"/>
          </w:tcPr>
          <w:p w14:paraId="4D5FCD8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r>
      <w:tr w14:paraId="437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70F8F3E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1C95946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累计安置科创人才公寓户数</w:t>
            </w:r>
          </w:p>
        </w:tc>
        <w:tc>
          <w:tcPr>
            <w:tcW w:w="1134" w:type="dxa"/>
            <w:noWrap w:val="0"/>
            <w:vAlign w:val="center"/>
          </w:tcPr>
          <w:p w14:paraId="45FDC48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643B4C9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40</w:t>
            </w:r>
          </w:p>
        </w:tc>
        <w:tc>
          <w:tcPr>
            <w:tcW w:w="1134" w:type="dxa"/>
            <w:noWrap w:val="0"/>
            <w:vAlign w:val="center"/>
          </w:tcPr>
          <w:p w14:paraId="62C5977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50</w:t>
            </w:r>
          </w:p>
        </w:tc>
        <w:tc>
          <w:tcPr>
            <w:tcW w:w="1134" w:type="dxa"/>
            <w:noWrap w:val="0"/>
            <w:vAlign w:val="center"/>
          </w:tcPr>
          <w:p w14:paraId="12C43EB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60</w:t>
            </w:r>
          </w:p>
        </w:tc>
        <w:tc>
          <w:tcPr>
            <w:tcW w:w="1134" w:type="dxa"/>
            <w:noWrap w:val="0"/>
            <w:vAlign w:val="center"/>
          </w:tcPr>
          <w:p w14:paraId="734DD66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60</w:t>
            </w:r>
          </w:p>
        </w:tc>
        <w:tc>
          <w:tcPr>
            <w:tcW w:w="850" w:type="dxa"/>
            <w:noWrap w:val="0"/>
            <w:vAlign w:val="center"/>
          </w:tcPr>
          <w:p w14:paraId="25808A1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SG"/>
              </w:rPr>
              <w:t>3</w:t>
            </w:r>
          </w:p>
        </w:tc>
      </w:tr>
      <w:tr w14:paraId="4473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restart"/>
            <w:noWrap w:val="0"/>
            <w:vAlign w:val="center"/>
          </w:tcPr>
          <w:p w14:paraId="483254F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高质量发展</w:t>
            </w:r>
          </w:p>
        </w:tc>
        <w:tc>
          <w:tcPr>
            <w:tcW w:w="2891" w:type="dxa"/>
            <w:noWrap w:val="0"/>
            <w:vAlign w:val="center"/>
          </w:tcPr>
          <w:p w14:paraId="6BCD77F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累计高新技术企业数</w:t>
            </w:r>
          </w:p>
        </w:tc>
        <w:tc>
          <w:tcPr>
            <w:tcW w:w="1134" w:type="dxa"/>
            <w:noWrap w:val="0"/>
            <w:vAlign w:val="center"/>
          </w:tcPr>
          <w:p w14:paraId="410681C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储备3个</w:t>
            </w:r>
          </w:p>
        </w:tc>
        <w:tc>
          <w:tcPr>
            <w:tcW w:w="1134" w:type="dxa"/>
            <w:noWrap w:val="0"/>
            <w:vAlign w:val="center"/>
          </w:tcPr>
          <w:p w14:paraId="133C954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w:t>
            </w:r>
          </w:p>
        </w:tc>
        <w:tc>
          <w:tcPr>
            <w:tcW w:w="1134" w:type="dxa"/>
            <w:noWrap w:val="0"/>
            <w:vAlign w:val="center"/>
          </w:tcPr>
          <w:p w14:paraId="5DEC0B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3</w:t>
            </w:r>
          </w:p>
        </w:tc>
        <w:tc>
          <w:tcPr>
            <w:tcW w:w="1134" w:type="dxa"/>
            <w:noWrap w:val="0"/>
            <w:vAlign w:val="center"/>
          </w:tcPr>
          <w:p w14:paraId="04446E2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7810676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c>
          <w:tcPr>
            <w:tcW w:w="850" w:type="dxa"/>
            <w:noWrap w:val="0"/>
            <w:vAlign w:val="center"/>
          </w:tcPr>
          <w:p w14:paraId="4A20E4C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r>
      <w:tr w14:paraId="339E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62D877C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4F01303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累计申请知识产权数</w:t>
            </w:r>
          </w:p>
          <w:p w14:paraId="70DD00B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（其中PCT占比10%）</w:t>
            </w:r>
          </w:p>
        </w:tc>
        <w:tc>
          <w:tcPr>
            <w:tcW w:w="1134" w:type="dxa"/>
            <w:noWrap w:val="0"/>
            <w:vAlign w:val="center"/>
          </w:tcPr>
          <w:p w14:paraId="5503B04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7FB055D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15</w:t>
            </w:r>
          </w:p>
        </w:tc>
        <w:tc>
          <w:tcPr>
            <w:tcW w:w="1134" w:type="dxa"/>
            <w:noWrap w:val="0"/>
            <w:vAlign w:val="center"/>
          </w:tcPr>
          <w:p w14:paraId="4385CCE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30</w:t>
            </w:r>
          </w:p>
        </w:tc>
        <w:tc>
          <w:tcPr>
            <w:tcW w:w="1134" w:type="dxa"/>
            <w:noWrap w:val="0"/>
            <w:vAlign w:val="center"/>
          </w:tcPr>
          <w:p w14:paraId="7A819497">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50</w:t>
            </w:r>
          </w:p>
        </w:tc>
        <w:tc>
          <w:tcPr>
            <w:tcW w:w="1134" w:type="dxa"/>
            <w:noWrap w:val="0"/>
            <w:vAlign w:val="center"/>
          </w:tcPr>
          <w:p w14:paraId="2FCBE37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80</w:t>
            </w:r>
          </w:p>
        </w:tc>
        <w:tc>
          <w:tcPr>
            <w:tcW w:w="850" w:type="dxa"/>
            <w:noWrap w:val="0"/>
            <w:vAlign w:val="center"/>
          </w:tcPr>
          <w:p w14:paraId="3F670D0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cs="宋体"/>
                <w:color w:val="auto"/>
                <w:kern w:val="0"/>
                <w:sz w:val="22"/>
                <w:szCs w:val="22"/>
                <w:highlight w:val="none"/>
                <w:lang w:val="en-US" w:eastAsia="zh-CN"/>
              </w:rPr>
              <w:t>10</w:t>
            </w:r>
          </w:p>
        </w:tc>
      </w:tr>
      <w:tr w14:paraId="0175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5DC662C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2BE63C7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累计省级创新型中小企业或省级科技型中小企业数</w:t>
            </w:r>
          </w:p>
        </w:tc>
        <w:tc>
          <w:tcPr>
            <w:tcW w:w="1134" w:type="dxa"/>
            <w:noWrap w:val="0"/>
            <w:vAlign w:val="center"/>
          </w:tcPr>
          <w:p w14:paraId="469DF4D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1134" w:type="dxa"/>
            <w:noWrap w:val="0"/>
            <w:vAlign w:val="center"/>
          </w:tcPr>
          <w:p w14:paraId="223E9C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c>
          <w:tcPr>
            <w:tcW w:w="1134" w:type="dxa"/>
            <w:noWrap w:val="0"/>
            <w:vAlign w:val="center"/>
          </w:tcPr>
          <w:p w14:paraId="0AB4C90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15</w:t>
            </w:r>
          </w:p>
        </w:tc>
        <w:tc>
          <w:tcPr>
            <w:tcW w:w="1134" w:type="dxa"/>
            <w:noWrap w:val="0"/>
            <w:vAlign w:val="center"/>
          </w:tcPr>
          <w:p w14:paraId="3BA2670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20</w:t>
            </w:r>
          </w:p>
        </w:tc>
        <w:tc>
          <w:tcPr>
            <w:tcW w:w="1134" w:type="dxa"/>
            <w:noWrap w:val="0"/>
            <w:vAlign w:val="center"/>
          </w:tcPr>
          <w:p w14:paraId="2711893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25</w:t>
            </w:r>
          </w:p>
        </w:tc>
        <w:tc>
          <w:tcPr>
            <w:tcW w:w="850" w:type="dxa"/>
            <w:noWrap w:val="0"/>
            <w:vAlign w:val="center"/>
          </w:tcPr>
          <w:p w14:paraId="00F15CB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SG"/>
              </w:rPr>
              <w:t>5</w:t>
            </w:r>
          </w:p>
        </w:tc>
      </w:tr>
      <w:tr w14:paraId="16D8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588C68F">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527DDBF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累计明星企业数</w:t>
            </w:r>
          </w:p>
        </w:tc>
        <w:tc>
          <w:tcPr>
            <w:tcW w:w="1134" w:type="dxa"/>
            <w:noWrap w:val="0"/>
            <w:vAlign w:val="center"/>
          </w:tcPr>
          <w:p w14:paraId="106F83F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w:t>
            </w:r>
          </w:p>
        </w:tc>
        <w:tc>
          <w:tcPr>
            <w:tcW w:w="1134" w:type="dxa"/>
            <w:noWrap w:val="0"/>
            <w:vAlign w:val="center"/>
          </w:tcPr>
          <w:p w14:paraId="1CF49B7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w:t>
            </w:r>
          </w:p>
        </w:tc>
        <w:tc>
          <w:tcPr>
            <w:tcW w:w="1134" w:type="dxa"/>
            <w:noWrap w:val="0"/>
            <w:vAlign w:val="center"/>
          </w:tcPr>
          <w:p w14:paraId="6E99F63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3</w:t>
            </w:r>
          </w:p>
        </w:tc>
        <w:tc>
          <w:tcPr>
            <w:tcW w:w="1134" w:type="dxa"/>
            <w:noWrap w:val="0"/>
            <w:vAlign w:val="center"/>
          </w:tcPr>
          <w:p w14:paraId="064B99F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4</w:t>
            </w:r>
          </w:p>
        </w:tc>
        <w:tc>
          <w:tcPr>
            <w:tcW w:w="1134" w:type="dxa"/>
            <w:noWrap w:val="0"/>
            <w:vAlign w:val="center"/>
          </w:tcPr>
          <w:p w14:paraId="478C75C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6</w:t>
            </w:r>
          </w:p>
        </w:tc>
        <w:tc>
          <w:tcPr>
            <w:tcW w:w="850" w:type="dxa"/>
            <w:noWrap w:val="0"/>
            <w:vAlign w:val="center"/>
          </w:tcPr>
          <w:p w14:paraId="3A05784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w:t>
            </w:r>
          </w:p>
        </w:tc>
      </w:tr>
      <w:tr w14:paraId="457A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Merge w:val="continue"/>
            <w:noWrap w:val="0"/>
            <w:vAlign w:val="center"/>
          </w:tcPr>
          <w:p w14:paraId="47B1F53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p>
        </w:tc>
        <w:tc>
          <w:tcPr>
            <w:tcW w:w="2891" w:type="dxa"/>
            <w:noWrap w:val="0"/>
            <w:vAlign w:val="center"/>
          </w:tcPr>
          <w:p w14:paraId="01DC59E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累计促进产投产业投资</w:t>
            </w:r>
          </w:p>
          <w:p w14:paraId="14E4720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项目数</w:t>
            </w:r>
          </w:p>
        </w:tc>
        <w:tc>
          <w:tcPr>
            <w:tcW w:w="1134" w:type="dxa"/>
            <w:noWrap w:val="0"/>
            <w:vAlign w:val="center"/>
          </w:tcPr>
          <w:p w14:paraId="55AA6B8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推荐</w:t>
            </w:r>
          </w:p>
          <w:p w14:paraId="5EDC607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10个</w:t>
            </w:r>
          </w:p>
        </w:tc>
        <w:tc>
          <w:tcPr>
            <w:tcW w:w="1134" w:type="dxa"/>
            <w:noWrap w:val="0"/>
            <w:vAlign w:val="center"/>
          </w:tcPr>
          <w:p w14:paraId="6A34C43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1</w:t>
            </w:r>
          </w:p>
        </w:tc>
        <w:tc>
          <w:tcPr>
            <w:tcW w:w="1134" w:type="dxa"/>
            <w:noWrap w:val="0"/>
            <w:vAlign w:val="center"/>
          </w:tcPr>
          <w:p w14:paraId="134FA79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w:t>
            </w:r>
          </w:p>
        </w:tc>
        <w:tc>
          <w:tcPr>
            <w:tcW w:w="1134" w:type="dxa"/>
            <w:noWrap w:val="0"/>
            <w:vAlign w:val="center"/>
          </w:tcPr>
          <w:p w14:paraId="46EF949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3</w:t>
            </w:r>
          </w:p>
        </w:tc>
        <w:tc>
          <w:tcPr>
            <w:tcW w:w="1134" w:type="dxa"/>
            <w:noWrap w:val="0"/>
            <w:vAlign w:val="center"/>
          </w:tcPr>
          <w:p w14:paraId="0940B80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5</w:t>
            </w:r>
          </w:p>
        </w:tc>
        <w:tc>
          <w:tcPr>
            <w:tcW w:w="850" w:type="dxa"/>
            <w:noWrap w:val="0"/>
            <w:vAlign w:val="center"/>
          </w:tcPr>
          <w:p w14:paraId="4922089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2</w:t>
            </w:r>
          </w:p>
        </w:tc>
      </w:tr>
      <w:tr w14:paraId="34B6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E96F8F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标杆</w:t>
            </w:r>
          </w:p>
          <w:p w14:paraId="57D94D35">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建设</w:t>
            </w:r>
          </w:p>
        </w:tc>
        <w:tc>
          <w:tcPr>
            <w:tcW w:w="2891" w:type="dxa"/>
            <w:shd w:val="clear" w:color="auto" w:fill="auto"/>
            <w:noWrap w:val="0"/>
            <w:vAlign w:val="center"/>
          </w:tcPr>
          <w:p w14:paraId="643C32F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累计获得市级及以上平台荣誉资质数</w:t>
            </w:r>
          </w:p>
        </w:tc>
        <w:tc>
          <w:tcPr>
            <w:tcW w:w="1134" w:type="dxa"/>
            <w:shd w:val="clear" w:color="auto" w:fill="auto"/>
            <w:noWrap w:val="0"/>
            <w:vAlign w:val="center"/>
          </w:tcPr>
          <w:p w14:paraId="60359D3E">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cs="宋体"/>
                <w:color w:val="auto"/>
                <w:kern w:val="0"/>
                <w:sz w:val="22"/>
                <w:szCs w:val="22"/>
                <w:highlight w:val="none"/>
                <w:lang w:val="en-US" w:eastAsia="zh-CN"/>
              </w:rPr>
              <w:t>平台</w:t>
            </w:r>
            <w:r>
              <w:rPr>
                <w:rFonts w:hint="eastAsia" w:ascii="宋体" w:hAnsi="宋体" w:eastAsia="宋体" w:cs="宋体"/>
                <w:color w:val="auto"/>
                <w:kern w:val="0"/>
                <w:sz w:val="22"/>
                <w:szCs w:val="22"/>
                <w:highlight w:val="none"/>
                <w:lang w:val="en-SG"/>
              </w:rPr>
              <w:t>申报1个</w:t>
            </w:r>
            <w:r>
              <w:rPr>
                <w:rFonts w:hint="eastAsia" w:ascii="宋体" w:hAnsi="宋体" w:cs="宋体"/>
                <w:color w:val="auto"/>
                <w:kern w:val="0"/>
                <w:sz w:val="22"/>
                <w:szCs w:val="22"/>
                <w:highlight w:val="none"/>
                <w:lang w:val="en-US" w:eastAsia="zh-CN"/>
              </w:rPr>
              <w:t>市级</w:t>
            </w:r>
            <w:r>
              <w:rPr>
                <w:rFonts w:hint="eastAsia" w:ascii="宋体" w:hAnsi="宋体" w:eastAsia="宋体" w:cs="宋体"/>
                <w:color w:val="auto"/>
                <w:kern w:val="0"/>
                <w:sz w:val="22"/>
                <w:szCs w:val="22"/>
                <w:highlight w:val="none"/>
                <w:lang w:val="en-SG"/>
              </w:rPr>
              <w:t>荣誉</w:t>
            </w:r>
          </w:p>
        </w:tc>
        <w:tc>
          <w:tcPr>
            <w:tcW w:w="1134" w:type="dxa"/>
            <w:shd w:val="clear" w:color="auto" w:fill="auto"/>
            <w:noWrap w:val="0"/>
            <w:vAlign w:val="center"/>
          </w:tcPr>
          <w:p w14:paraId="50211ECC">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1</w:t>
            </w:r>
          </w:p>
        </w:tc>
        <w:tc>
          <w:tcPr>
            <w:tcW w:w="1134" w:type="dxa"/>
            <w:shd w:val="clear" w:color="auto" w:fill="auto"/>
            <w:noWrap w:val="0"/>
            <w:vAlign w:val="center"/>
          </w:tcPr>
          <w:p w14:paraId="56CE05A8">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2</w:t>
            </w: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包含一个省级</w:t>
            </w:r>
            <w:r>
              <w:rPr>
                <w:rFonts w:hint="eastAsia" w:ascii="宋体" w:hAnsi="宋体" w:eastAsia="宋体" w:cs="宋体"/>
                <w:color w:val="auto"/>
                <w:kern w:val="0"/>
                <w:sz w:val="22"/>
                <w:szCs w:val="22"/>
                <w:highlight w:val="none"/>
                <w:lang w:val="en-SG" w:eastAsia="zh-CN"/>
              </w:rPr>
              <w:t>）</w:t>
            </w:r>
          </w:p>
        </w:tc>
        <w:tc>
          <w:tcPr>
            <w:tcW w:w="1134" w:type="dxa"/>
            <w:shd w:val="clear" w:color="auto" w:fill="auto"/>
            <w:noWrap w:val="0"/>
            <w:vAlign w:val="center"/>
          </w:tcPr>
          <w:p w14:paraId="44AF908B">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3</w:t>
            </w: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包含一个省级</w:t>
            </w:r>
            <w:r>
              <w:rPr>
                <w:rFonts w:hint="eastAsia" w:ascii="宋体" w:hAnsi="宋体" w:eastAsia="宋体" w:cs="宋体"/>
                <w:color w:val="auto"/>
                <w:kern w:val="0"/>
                <w:sz w:val="22"/>
                <w:szCs w:val="22"/>
                <w:highlight w:val="none"/>
                <w:lang w:val="en-SG" w:eastAsia="zh-CN"/>
              </w:rPr>
              <w:t>）</w:t>
            </w:r>
          </w:p>
        </w:tc>
        <w:tc>
          <w:tcPr>
            <w:tcW w:w="1134" w:type="dxa"/>
            <w:shd w:val="clear" w:color="auto" w:fill="auto"/>
            <w:noWrap w:val="0"/>
            <w:vAlign w:val="center"/>
          </w:tcPr>
          <w:p w14:paraId="4722586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4</w:t>
            </w: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包含一个</w:t>
            </w:r>
            <w:r>
              <w:rPr>
                <w:rFonts w:hint="eastAsia" w:ascii="宋体" w:hAnsi="宋体" w:cs="宋体"/>
                <w:color w:val="auto"/>
                <w:kern w:val="0"/>
                <w:sz w:val="22"/>
                <w:szCs w:val="22"/>
                <w:highlight w:val="none"/>
                <w:lang w:val="en-US" w:eastAsia="zh-CN"/>
              </w:rPr>
              <w:t>省级，一个</w:t>
            </w:r>
            <w:r>
              <w:rPr>
                <w:rFonts w:hint="eastAsia" w:ascii="宋体" w:hAnsi="宋体" w:eastAsia="宋体" w:cs="宋体"/>
                <w:color w:val="auto"/>
                <w:kern w:val="0"/>
                <w:sz w:val="22"/>
                <w:szCs w:val="22"/>
                <w:highlight w:val="none"/>
                <w:lang w:val="en-SG"/>
              </w:rPr>
              <w:t>国家</w:t>
            </w:r>
            <w:r>
              <w:rPr>
                <w:rFonts w:hint="eastAsia" w:ascii="宋体" w:hAnsi="宋体" w:eastAsia="宋体" w:cs="宋体"/>
                <w:color w:val="auto"/>
                <w:kern w:val="0"/>
                <w:sz w:val="22"/>
                <w:szCs w:val="22"/>
                <w:highlight w:val="none"/>
                <w:lang w:val="en-SG" w:eastAsia="zh-CN"/>
              </w:rPr>
              <w:t>）</w:t>
            </w:r>
          </w:p>
        </w:tc>
        <w:tc>
          <w:tcPr>
            <w:tcW w:w="850" w:type="dxa"/>
            <w:shd w:val="clear" w:color="auto" w:fill="auto"/>
            <w:noWrap w:val="0"/>
            <w:vAlign w:val="center"/>
          </w:tcPr>
          <w:p w14:paraId="0081AFF6">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bidi="ar-SA"/>
              </w:rPr>
            </w:pPr>
            <w:r>
              <w:rPr>
                <w:rFonts w:hint="eastAsia" w:ascii="宋体" w:hAnsi="宋体" w:eastAsia="宋体" w:cs="宋体"/>
                <w:color w:val="auto"/>
                <w:kern w:val="0"/>
                <w:sz w:val="22"/>
                <w:szCs w:val="22"/>
                <w:highlight w:val="none"/>
                <w:lang w:val="en-SG"/>
              </w:rPr>
              <w:t>15</w:t>
            </w:r>
          </w:p>
        </w:tc>
      </w:tr>
      <w:tr w14:paraId="1A4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8" w:type="dxa"/>
            <w:gridSpan w:val="7"/>
            <w:noWrap w:val="0"/>
            <w:vAlign w:val="center"/>
          </w:tcPr>
          <w:p w14:paraId="111F083A">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标准考核总得分=∑（标准考核目标单项实际完成数/当年指标数）×当年分值。</w:t>
            </w:r>
          </w:p>
          <w:p w14:paraId="00BC5282">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总得分不超过100分。</w:t>
            </w:r>
          </w:p>
        </w:tc>
        <w:tc>
          <w:tcPr>
            <w:tcW w:w="850" w:type="dxa"/>
            <w:shd w:val="clear" w:color="auto" w:fill="auto"/>
            <w:noWrap w:val="0"/>
            <w:vAlign w:val="center"/>
          </w:tcPr>
          <w:p w14:paraId="728A02A1">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US" w:eastAsia="zh-CN"/>
              </w:rPr>
              <w:t>100</w:t>
            </w:r>
          </w:p>
        </w:tc>
      </w:tr>
      <w:tr w14:paraId="3178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437258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b/>
                <w:bCs/>
                <w:color w:val="auto"/>
                <w:kern w:val="0"/>
                <w:sz w:val="22"/>
                <w:szCs w:val="22"/>
                <w:highlight w:val="none"/>
                <w:lang w:val="en-SG"/>
              </w:rPr>
              <w:t>加分项</w:t>
            </w:r>
          </w:p>
        </w:tc>
      </w:tr>
      <w:tr w14:paraId="49CF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BEF24B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明星企业及旗下子公司布局</w:t>
            </w:r>
          </w:p>
        </w:tc>
        <w:tc>
          <w:tcPr>
            <w:tcW w:w="9411" w:type="dxa"/>
            <w:gridSpan w:val="7"/>
            <w:shd w:val="clear" w:color="auto" w:fill="auto"/>
            <w:noWrap w:val="0"/>
            <w:vAlign w:val="center"/>
          </w:tcPr>
          <w:p w14:paraId="583261C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·额外新增省级专精特新企业得【5】分</w:t>
            </w:r>
          </w:p>
          <w:p w14:paraId="123D533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·额外新增国家级专精特新企业、瞪羚企业、独角兽企业或旗下子公司得【10】分</w:t>
            </w:r>
          </w:p>
          <w:p w14:paraId="31D85ED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·额外新增规上企业得【3】分</w:t>
            </w:r>
          </w:p>
          <w:p w14:paraId="57CAAB1D">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·额外新增上市企业得【10】分，新增上市企业旗下子公司得【5】分</w:t>
            </w:r>
          </w:p>
        </w:tc>
      </w:tr>
      <w:tr w14:paraId="67E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4FCD7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推动科技成果转化落地</w:t>
            </w:r>
          </w:p>
        </w:tc>
        <w:tc>
          <w:tcPr>
            <w:tcW w:w="9411" w:type="dxa"/>
            <w:gridSpan w:val="7"/>
            <w:shd w:val="clear" w:color="auto" w:fill="auto"/>
            <w:noWrap w:val="0"/>
            <w:vAlign w:val="center"/>
          </w:tcPr>
          <w:p w14:paraId="5077185D">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·促进对外科技成果交易、海外科技成果向内转化、企业成果离岸转化等，每增加1000万元得【1】分</w:t>
            </w:r>
          </w:p>
        </w:tc>
      </w:tr>
      <w:tr w14:paraId="0E47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06910130">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产业落地发展</w:t>
            </w:r>
          </w:p>
        </w:tc>
        <w:tc>
          <w:tcPr>
            <w:tcW w:w="9411" w:type="dxa"/>
            <w:gridSpan w:val="7"/>
            <w:shd w:val="clear" w:color="auto" w:fill="auto"/>
            <w:noWrap w:val="0"/>
            <w:vAlign w:val="center"/>
          </w:tcPr>
          <w:p w14:paraId="2D1361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·新增购地或购买国资厂房项目得【10】分</w:t>
            </w:r>
          </w:p>
          <w:p w14:paraId="53E139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·新增租赁厂房的产业落地项目得【3】分</w:t>
            </w:r>
          </w:p>
          <w:p w14:paraId="3DE98F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·新增</w:t>
            </w:r>
            <w:r>
              <w:rPr>
                <w:rFonts w:hint="eastAsia" w:ascii="宋体" w:hAnsi="宋体" w:eastAsia="宋体" w:cs="宋体"/>
                <w:color w:val="auto"/>
                <w:kern w:val="0"/>
                <w:sz w:val="22"/>
                <w:szCs w:val="22"/>
                <w:highlight w:val="none"/>
                <w:lang w:val="en-US" w:eastAsia="zh-CN"/>
              </w:rPr>
              <w:t>5000万</w:t>
            </w:r>
            <w:r>
              <w:rPr>
                <w:rFonts w:hint="eastAsia" w:ascii="宋体" w:hAnsi="宋体" w:eastAsia="宋体" w:cs="宋体"/>
                <w:color w:val="auto"/>
                <w:kern w:val="0"/>
                <w:sz w:val="22"/>
                <w:szCs w:val="22"/>
                <w:highlight w:val="none"/>
                <w:lang w:val="en-SG"/>
              </w:rPr>
              <w:t>元以上资产购买项目</w:t>
            </w:r>
            <w:r>
              <w:rPr>
                <w:rFonts w:hint="eastAsia" w:ascii="宋体" w:hAnsi="宋体" w:eastAsia="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其中每1000</w:t>
            </w:r>
            <w:r>
              <w:rPr>
                <w:rFonts w:hint="eastAsia" w:ascii="宋体" w:hAnsi="宋体" w:eastAsia="宋体" w:cs="宋体"/>
                <w:color w:val="auto"/>
                <w:kern w:val="0"/>
                <w:sz w:val="22"/>
                <w:szCs w:val="22"/>
                <w:highlight w:val="none"/>
                <w:lang w:val="en-SG" w:eastAsia="zh-CN"/>
              </w:rPr>
              <w:t>万元</w:t>
            </w:r>
            <w:r>
              <w:rPr>
                <w:rFonts w:hint="eastAsia" w:ascii="宋体" w:hAnsi="宋体" w:eastAsia="宋体" w:cs="宋体"/>
                <w:color w:val="auto"/>
                <w:kern w:val="0"/>
                <w:sz w:val="22"/>
                <w:szCs w:val="22"/>
                <w:highlight w:val="none"/>
                <w:lang w:val="en-SG"/>
              </w:rPr>
              <w:t>得【1】分</w:t>
            </w:r>
          </w:p>
          <w:p w14:paraId="6B7360BC">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·入驻企业工业产值每新增1亿元，得【2】分</w:t>
            </w:r>
          </w:p>
        </w:tc>
      </w:tr>
      <w:tr w14:paraId="0609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65C75242">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创新大型活动开展</w:t>
            </w:r>
          </w:p>
        </w:tc>
        <w:tc>
          <w:tcPr>
            <w:tcW w:w="9411" w:type="dxa"/>
            <w:gridSpan w:val="7"/>
            <w:shd w:val="clear" w:color="auto" w:fill="auto"/>
            <w:noWrap w:val="0"/>
            <w:vAlign w:val="center"/>
          </w:tcPr>
          <w:p w14:paraId="2F0DFF2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·主办国际类交流活动或规模大于等于100人，小于200人，大于等于200人，小于300人，300人以上的创业大赛或招商活动，并获得省市主管单位指导的，分别得【2】</w:t>
            </w:r>
            <w:r>
              <w:rPr>
                <w:rFonts w:hint="eastAsia" w:ascii="宋体" w:hAnsi="宋体" w:cs="宋体"/>
                <w:color w:val="auto"/>
                <w:kern w:val="0"/>
                <w:sz w:val="22"/>
                <w:szCs w:val="22"/>
                <w:highlight w:val="none"/>
                <w:lang w:val="en-SG" w:eastAsia="zh-CN"/>
              </w:rPr>
              <w:t>，</w:t>
            </w:r>
            <w:r>
              <w:rPr>
                <w:rFonts w:hint="eastAsia" w:ascii="宋体" w:hAnsi="宋体" w:eastAsia="宋体" w:cs="宋体"/>
                <w:color w:val="auto"/>
                <w:kern w:val="0"/>
                <w:sz w:val="22"/>
                <w:szCs w:val="22"/>
                <w:highlight w:val="none"/>
                <w:lang w:val="en-SG"/>
              </w:rPr>
              <w:t>【</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SG"/>
              </w:rPr>
              <w:t>】</w:t>
            </w:r>
            <w:r>
              <w:rPr>
                <w:rFonts w:hint="eastAsia" w:ascii="宋体" w:hAnsi="宋体" w:cs="宋体"/>
                <w:color w:val="auto"/>
                <w:kern w:val="0"/>
                <w:sz w:val="22"/>
                <w:szCs w:val="22"/>
                <w:highlight w:val="none"/>
                <w:lang w:val="en-SG" w:eastAsia="zh-CN"/>
              </w:rPr>
              <w:t>，【</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SG"/>
              </w:rPr>
              <w:t>】分</w:t>
            </w:r>
          </w:p>
        </w:tc>
      </w:tr>
      <w:tr w14:paraId="4041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7A597443">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卓越加分总得分=∑（卓越加分目标单项实际完成数）×标准分值。</w:t>
            </w:r>
          </w:p>
        </w:tc>
      </w:tr>
      <w:tr w14:paraId="3739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5A16883D">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考核总得分=标准考核总得分+卓越加分总得分。考核总得分</w:t>
            </w:r>
            <w:r>
              <w:rPr>
                <w:rFonts w:hint="eastAsia" w:ascii="宋体" w:hAnsi="宋体" w:eastAsia="宋体" w:cs="宋体"/>
                <w:color w:val="auto"/>
                <w:kern w:val="0"/>
                <w:sz w:val="22"/>
                <w:szCs w:val="22"/>
                <w:highlight w:val="none"/>
                <w:lang w:val="en-US" w:eastAsia="zh-CN"/>
              </w:rPr>
              <w:t>可</w:t>
            </w:r>
            <w:r>
              <w:rPr>
                <w:rFonts w:hint="eastAsia" w:ascii="宋体" w:hAnsi="宋体" w:eastAsia="宋体" w:cs="宋体"/>
                <w:color w:val="auto"/>
                <w:kern w:val="0"/>
                <w:sz w:val="22"/>
                <w:szCs w:val="22"/>
                <w:highlight w:val="none"/>
                <w:lang w:val="en-SG"/>
              </w:rPr>
              <w:t>超过100分。</w:t>
            </w:r>
          </w:p>
          <w:p w14:paraId="58FAFCB9">
            <w:pPr>
              <w:keepNext w:val="0"/>
              <w:keepLines w:val="0"/>
              <w:pageBreakBefore w:val="0"/>
              <w:widowControl w:val="0"/>
              <w:kinsoku/>
              <w:wordWrap/>
              <w:overflowPunct/>
              <w:topLinePunct w:val="0"/>
              <w:autoSpaceDE/>
              <w:autoSpaceDN/>
              <w:bidi w:val="0"/>
              <w:adjustRightInd/>
              <w:snapToGrid/>
              <w:spacing w:line="288" w:lineRule="auto"/>
              <w:ind w:left="0" w:leftChars="0"/>
              <w:jc w:val="center"/>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rPr>
              <w:t>若标准考核总得分低于70分，卓越加分目标不生效不予加分</w:t>
            </w:r>
            <w:r>
              <w:rPr>
                <w:rFonts w:hint="eastAsia" w:ascii="宋体" w:hAnsi="宋体" w:eastAsia="宋体" w:cs="宋体"/>
                <w:color w:val="auto"/>
                <w:kern w:val="0"/>
                <w:sz w:val="22"/>
                <w:szCs w:val="22"/>
                <w:highlight w:val="none"/>
                <w:lang w:val="en-SG" w:eastAsia="zh-CN"/>
              </w:rPr>
              <w:t>。</w:t>
            </w:r>
          </w:p>
        </w:tc>
      </w:tr>
      <w:tr w14:paraId="2478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8" w:type="dxa"/>
            <w:gridSpan w:val="8"/>
            <w:noWrap w:val="0"/>
            <w:vAlign w:val="center"/>
          </w:tcPr>
          <w:p w14:paraId="6F0F84BC">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rPr>
              <w:t>上述指标打分按照实际完成数/当年度目标数×分值，加分项按照实际完成数×分值。</w:t>
            </w:r>
          </w:p>
          <w:p w14:paraId="288C68CB">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w:t>
            </w:r>
          </w:p>
          <w:p w14:paraId="39BE2CB2">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双方确认，项目五年去化率目标为：首年20%、次年75%、第三至五年均为90%。当年度考核未达成前述目标50%时，该年度考核总分扣25分。</w:t>
            </w:r>
          </w:p>
          <w:p w14:paraId="6B292A13">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项目年度累计从业人数应达到约定考核指标。完成率低于70%的，本项得零分；完成率达到或超过70%的，按实际完成比例计分</w:t>
            </w:r>
            <w:r>
              <w:rPr>
                <w:rFonts w:hint="eastAsia" w:ascii="宋体" w:hAnsi="宋体" w:eastAsia="宋体" w:cs="宋体"/>
                <w:color w:val="auto"/>
                <w:kern w:val="0"/>
                <w:sz w:val="22"/>
                <w:szCs w:val="22"/>
                <w:highlight w:val="none"/>
                <w:lang w:val="en-US" w:eastAsia="zh-CN"/>
              </w:rPr>
              <w:t>，</w:t>
            </w:r>
            <w:r>
              <w:rPr>
                <w:rFonts w:hint="default" w:ascii="宋体" w:hAnsi="宋体" w:eastAsia="宋体" w:cs="宋体"/>
                <w:color w:val="auto"/>
                <w:kern w:val="0"/>
                <w:sz w:val="22"/>
                <w:szCs w:val="22"/>
                <w:highlight w:val="none"/>
                <w:lang w:val="en-US" w:eastAsia="zh-CN"/>
              </w:rPr>
              <w:t>考核以社保缴纳记录为准。</w:t>
            </w:r>
          </w:p>
          <w:p w14:paraId="151A7AF4">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名词注释：</w:t>
            </w:r>
          </w:p>
          <w:p w14:paraId="4AB19A7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累计创新创业活动数：以省内外组织的招商活动或在项目组织政策活动为准，且参加企业高于10家。邀请为具有正高级技术职称专家、高层次人才或行业内专家举办培训活动。</w:t>
            </w:r>
          </w:p>
          <w:p w14:paraId="15A2993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高新技术企业数：按照《国家高新技术企业认定标准》，企业需具备1类知识产权1件或者2类知识产权3件，企业建立有研发制度和组织，从事研发和技术创新活动的人数占职工总数的10%以上，研发费用占比不低于4%，符合上述要求且完成注册的企业即为储备高企。</w:t>
            </w:r>
            <w:r>
              <w:rPr>
                <w:rFonts w:hint="eastAsia" w:ascii="宋体" w:hAnsi="宋体" w:eastAsia="宋体" w:cs="宋体"/>
                <w:color w:val="auto"/>
                <w:kern w:val="0"/>
                <w:sz w:val="22"/>
                <w:szCs w:val="22"/>
                <w:highlight w:val="none"/>
                <w:lang w:val="en-SG"/>
              </w:rPr>
              <w:t>第三年起规上企业不少于30%。</w:t>
            </w:r>
          </w:p>
          <w:p w14:paraId="0B3FCD5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累计申请知识产权数：有效申请知识产权是必须获得由科技局或知识产权局反馈的知识产权申请受理通知书，且知识产权必须是发明专利、实用新型专利、软著、电路图，外观专利、商标不计入有效申报。</w:t>
            </w:r>
          </w:p>
          <w:p w14:paraId="16D4A6C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累计明星企业落地数：明星企业指的是企业贡献大或实力强，其中以下属于明星企业：①规上企业（包含工业、服务业等）、毕业企业、外资企业、专精特新企业；②省级小巨人企业、省级科技领军企业等省级及以上荣誉的企业；③国家级专精特新“小巨人”企业、龙头企业、瞪羚企业、独角兽企业、上市公司或上述企业在地方投资或设立地方区域总部；④在职办公人数不低于100人；⑤企业建立有市级或省级或国家级平台如工程研究中心、制造业创新中心、企业技术中心、企业研究院、企业研发中心等；⑥产业化落地项目；⑦用地项目；⑧行业500强的集团企业在地方投资或设立地方区域总部；⑨实缴不低于1000万元的外资科技企业。</w:t>
            </w:r>
          </w:p>
          <w:p w14:paraId="736F755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5、累计获得市级及以上平台荣誉资质数：包括科技口、工信口、人社口等相关政府部门颁发的资质，必须是有相关国家、部委、地方政策文件支持的荣誉资质，不含招商先进单位等非政策文件支持的荣誉，首年申报1个荣誉资质需完成一个荣誉资质申报文件的编写并递交至上述相关单位处。</w:t>
            </w:r>
          </w:p>
          <w:p w14:paraId="21E81F1F">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6、累计建设海外创新创业孵化基地：在海外搭建孵化基地，聚焦技术、项目、人才三大核心要素，围绕江东新区4+x产业，与海外高校、科研院所、科技企业建立合作渠道，实现资源高效对接与精准招引，推动海外科技成果在园区转化应用，推动园区技术成果离岸转化。</w:t>
            </w:r>
          </w:p>
          <w:p w14:paraId="246BDD55">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7、促进对外科技成果交易、海外科技成果向内转化、企业成果离岸转化等新增金额以市商务局认定金额为主。</w:t>
            </w:r>
          </w:p>
          <w:p w14:paraId="0ECC3AC9">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8、资产购买金额以相关部门系统数据或以实际发票金额低值为准，上述金额不含税。</w:t>
            </w:r>
          </w:p>
          <w:p w14:paraId="0E8367FA">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eastAsia="zh-CN"/>
              </w:rPr>
            </w:pPr>
            <w:r>
              <w:rPr>
                <w:rFonts w:hint="eastAsia" w:ascii="宋体" w:hAnsi="宋体" w:eastAsia="宋体" w:cs="宋体"/>
                <w:color w:val="auto"/>
                <w:kern w:val="0"/>
                <w:sz w:val="22"/>
                <w:szCs w:val="22"/>
                <w:highlight w:val="none"/>
                <w:lang w:val="en-SG" w:eastAsia="zh-CN"/>
              </w:rPr>
              <w:t>9、落地企业需满足《国家税务总局海南省税务局 海南省财政厅 海南省市场监督管理局关于海南自由贸易港鼓励类产业企业实质性运营有关问题的补充公告》等有关实质性运营规定。</w:t>
            </w:r>
          </w:p>
          <w:p w14:paraId="6E17FBE9">
            <w:pPr>
              <w:keepNext w:val="0"/>
              <w:keepLines w:val="0"/>
              <w:pageBreakBefore w:val="0"/>
              <w:widowControl w:val="0"/>
              <w:kinsoku/>
              <w:wordWrap/>
              <w:overflowPunct/>
              <w:topLinePunct w:val="0"/>
              <w:autoSpaceDE/>
              <w:autoSpaceDN/>
              <w:bidi w:val="0"/>
              <w:adjustRightInd/>
              <w:snapToGrid/>
              <w:spacing w:line="288" w:lineRule="auto"/>
              <w:ind w:left="0" w:leftChars="0"/>
              <w:jc w:val="left"/>
              <w:textAlignment w:val="auto"/>
              <w:rPr>
                <w:rFonts w:hint="eastAsia" w:ascii="宋体" w:hAnsi="宋体" w:eastAsia="宋体" w:cs="宋体"/>
                <w:color w:val="auto"/>
                <w:kern w:val="0"/>
                <w:sz w:val="22"/>
                <w:szCs w:val="22"/>
                <w:highlight w:val="none"/>
                <w:lang w:val="en-SG"/>
              </w:rPr>
            </w:pPr>
            <w:r>
              <w:rPr>
                <w:rFonts w:hint="eastAsia" w:ascii="宋体" w:hAnsi="宋体" w:eastAsia="宋体" w:cs="宋体"/>
                <w:color w:val="auto"/>
                <w:kern w:val="0"/>
                <w:sz w:val="22"/>
                <w:szCs w:val="22"/>
                <w:highlight w:val="none"/>
                <w:lang w:val="en-SG" w:eastAsia="zh-CN"/>
              </w:rPr>
              <w:t>10、招引的注册落地企业不包括当前已经注册在海口江东新区并已在海口江东新区租赁或购买办公区域开展实质性运营的企业。</w:t>
            </w:r>
          </w:p>
        </w:tc>
      </w:tr>
    </w:tbl>
    <w:p w14:paraId="62A94E9E">
      <w:pPr>
        <w:pStyle w:val="25"/>
        <w:spacing w:before="0" w:beforeLines="0"/>
        <w:ind w:firstLine="643" w:firstLineChars="200"/>
        <w:rPr>
          <w:rFonts w:hint="eastAsia" w:ascii="楷体_GB2312" w:hAnsi="楷体_GB2312" w:eastAsia="楷体_GB2312" w:cs="楷体_GB2312"/>
          <w:b/>
          <w:bCs/>
          <w:color w:val="auto"/>
          <w:sz w:val="32"/>
          <w:szCs w:val="40"/>
          <w:highlight w:val="none"/>
        </w:rPr>
      </w:pPr>
      <w:r>
        <w:rPr>
          <w:rFonts w:hint="eastAsia" w:ascii="楷体_GB2312" w:hAnsi="楷体_GB2312" w:eastAsia="楷体_GB2312" w:cs="楷体_GB2312"/>
          <w:b/>
          <w:bCs/>
          <w:color w:val="auto"/>
          <w:sz w:val="32"/>
          <w:szCs w:val="40"/>
          <w:highlight w:val="none"/>
        </w:rPr>
        <w:t>（五）运营载体</w:t>
      </w:r>
    </w:p>
    <w:p w14:paraId="631BDAA7">
      <w:pPr>
        <w:pStyle w:val="28"/>
        <w:spacing w:line="560" w:lineRule="exact"/>
        <w:ind w:firstLine="48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rPr>
        <w:t>甲方将位于【江东天地】【    栋】【   -   层】</w:t>
      </w:r>
      <w:r>
        <w:rPr>
          <w:rFonts w:hint="eastAsia" w:ascii="仿宋_GB2312" w:hAnsi="仿宋_GB2312" w:cs="仿宋_GB2312"/>
          <w:color w:val="auto"/>
          <w:sz w:val="32"/>
          <w:szCs w:val="32"/>
          <w:highlight w:val="none"/>
          <w:lang w:val="en-US" w:eastAsia="zh-CN"/>
        </w:rPr>
        <w:t>的载体</w:t>
      </w:r>
      <w:r>
        <w:rPr>
          <w:rFonts w:hint="eastAsia" w:ascii="仿宋_GB2312" w:hAnsi="仿宋_GB2312" w:cs="仿宋_GB2312"/>
          <w:color w:val="auto"/>
          <w:sz w:val="32"/>
          <w:szCs w:val="32"/>
          <w:highlight w:val="none"/>
        </w:rPr>
        <w:t>共计</w:t>
      </w:r>
      <w:r>
        <w:rPr>
          <w:rFonts w:hint="eastAsia" w:ascii="仿宋_GB2312" w:hAnsi="仿宋_GB2312" w:cs="仿宋_GB2312"/>
          <w:color w:val="auto"/>
          <w:sz w:val="32"/>
          <w:szCs w:val="32"/>
          <w:highlight w:val="none"/>
          <w:lang w:val="en-US" w:eastAsia="zh-CN"/>
        </w:rPr>
        <w:t>约</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rPr>
        <w:t>】平方米，委托给乙方负责开展招商运营工作。</w:t>
      </w:r>
    </w:p>
    <w:p w14:paraId="0758F21F">
      <w:pPr>
        <w:pStyle w:val="28"/>
        <w:spacing w:line="560" w:lineRule="exact"/>
        <w:ind w:firstLine="480"/>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2.甲方应于  年  月  日前交付</w:t>
      </w:r>
      <w:r>
        <w:rPr>
          <w:rFonts w:hint="eastAsia" w:ascii="仿宋_GB2312" w:hAnsi="仿宋_GB2312" w:cs="仿宋_GB2312"/>
          <w:color w:val="auto"/>
          <w:sz w:val="32"/>
          <w:szCs w:val="32"/>
          <w:highlight w:val="none"/>
        </w:rPr>
        <w:t>【江东天地】【  栋】【   -   层】</w:t>
      </w:r>
      <w:r>
        <w:rPr>
          <w:rFonts w:hint="eastAsia" w:ascii="仿宋_GB2312" w:hAnsi="仿宋_GB2312" w:cs="仿宋_GB2312"/>
          <w:color w:val="auto"/>
          <w:sz w:val="32"/>
          <w:szCs w:val="32"/>
          <w:highlight w:val="none"/>
          <w:lang w:val="en-US" w:eastAsia="zh-CN"/>
        </w:rPr>
        <w:t>共计面积约2400㎡载体用于乙方运营管理（依据江东新区管理局，以下简称“管理局”预付甲方实际资金</w:t>
      </w:r>
      <w:r>
        <w:rPr>
          <w:rFonts w:hint="eastAsia" w:ascii="仿宋_GB2312" w:hAnsi="仿宋_GB2312" w:cs="仿宋_GB2312"/>
          <w:color w:val="auto"/>
          <w:sz w:val="32"/>
          <w:szCs w:val="32"/>
          <w:highlight w:val="none"/>
          <w:lang w:val="en-US" w:eastAsia="zh-CN"/>
        </w:rPr>
        <w:t>为准），根据管理局拨付奖励资金进度陆续完成装修交付。</w:t>
      </w:r>
    </w:p>
    <w:p w14:paraId="476883EC">
      <w:pPr>
        <w:pStyle w:val="28"/>
        <w:spacing w:line="560" w:lineRule="exact"/>
        <w:ind w:firstLine="48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rPr>
        <w:t>交付标准：具体交付标准按照</w:t>
      </w:r>
      <w:r>
        <w:rPr>
          <w:rFonts w:hint="eastAsia" w:ascii="仿宋_GB2312" w:hAnsi="仿宋_GB2312" w:cs="仿宋_GB2312"/>
          <w:color w:val="auto"/>
          <w:sz w:val="32"/>
          <w:szCs w:val="32"/>
          <w:highlight w:val="none"/>
          <w:lang w:val="en-US" w:eastAsia="zh-CN"/>
        </w:rPr>
        <w:t>满足企业基本办公条件为准</w:t>
      </w:r>
      <w:r>
        <w:rPr>
          <w:rFonts w:hint="eastAsia" w:ascii="仿宋_GB2312" w:hAnsi="仿宋_GB2312" w:cs="仿宋_GB2312"/>
          <w:color w:val="auto"/>
          <w:sz w:val="32"/>
          <w:szCs w:val="32"/>
          <w:highlight w:val="none"/>
        </w:rPr>
        <w:t>执行，若未达到标准的，双方应进一步协商并签署补充</w:t>
      </w:r>
      <w:r>
        <w:rPr>
          <w:rFonts w:hint="eastAsia" w:ascii="仿宋_GB2312" w:hAnsi="仿宋_GB2312" w:cs="仿宋_GB2312"/>
          <w:color w:val="auto"/>
          <w:sz w:val="32"/>
          <w:szCs w:val="32"/>
          <w:highlight w:val="none"/>
          <w:lang w:val="en-US" w:eastAsia="zh-CN"/>
        </w:rPr>
        <w:t>协议</w:t>
      </w:r>
      <w:r>
        <w:rPr>
          <w:rFonts w:hint="eastAsia" w:ascii="仿宋_GB2312" w:hAnsi="仿宋_GB2312" w:cs="仿宋_GB2312"/>
          <w:color w:val="auto"/>
          <w:sz w:val="32"/>
          <w:szCs w:val="32"/>
          <w:highlight w:val="none"/>
        </w:rPr>
        <w:t>予以解决。</w:t>
      </w:r>
    </w:p>
    <w:p w14:paraId="69165D87">
      <w:pPr>
        <w:pStyle w:val="28"/>
        <w:spacing w:before="0" w:beforeLines="0" w:after="0" w:afterLines="0" w:line="560" w:lineRule="exact"/>
        <w:ind w:firstLine="48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lang w:val="en-US" w:eastAsia="zh-CN"/>
        </w:rPr>
        <w:t>（六）</w:t>
      </w:r>
      <w:r>
        <w:rPr>
          <w:rFonts w:hint="eastAsia" w:ascii="楷体_GB2312" w:hAnsi="楷体_GB2312" w:eastAsia="楷体_GB2312" w:cs="楷体_GB2312"/>
          <w:b/>
          <w:color w:val="auto"/>
          <w:sz w:val="32"/>
          <w:szCs w:val="32"/>
          <w:highlight w:val="none"/>
        </w:rPr>
        <w:t>委托运营载体品牌的约定</w:t>
      </w:r>
    </w:p>
    <w:p w14:paraId="02860942">
      <w:pPr>
        <w:pStyle w:val="28"/>
        <w:spacing w:line="560" w:lineRule="exact"/>
        <w:ind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rPr>
        <w:t>载体对外营运品牌名称：【</w:t>
      </w:r>
      <w:r>
        <w:rPr>
          <w:rFonts w:hint="eastAsia" w:ascii="仿宋_GB2312" w:hAnsi="仿宋_GB2312" w:cs="仿宋_GB2312"/>
          <w:color w:val="auto"/>
          <w:sz w:val="32"/>
          <w:szCs w:val="28"/>
          <w:highlight w:val="none"/>
        </w:rPr>
        <w:t>江东新区科创园</w:t>
      </w:r>
      <w:r>
        <w:rPr>
          <w:rFonts w:hint="eastAsia" w:ascii="仿宋_GB2312" w:hAnsi="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具体名称双方签约后可进一步协商调整。</w:t>
      </w:r>
    </w:p>
    <w:p w14:paraId="79A1FCBC">
      <w:pPr>
        <w:pStyle w:val="28"/>
        <w:spacing w:line="560" w:lineRule="exact"/>
        <w:ind w:firstLine="48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rPr>
        <w:t>为更好的展示标杆运营形象，甲方需在载体</w:t>
      </w:r>
      <w:r>
        <w:rPr>
          <w:rFonts w:hint="eastAsia" w:ascii="仿宋_GB2312" w:hAnsi="仿宋_GB2312" w:cs="仿宋_GB2312"/>
          <w:color w:val="auto"/>
          <w:sz w:val="32"/>
          <w:szCs w:val="32"/>
          <w:highlight w:val="none"/>
          <w:lang w:val="en-US" w:eastAsia="zh-CN"/>
        </w:rPr>
        <w:t>合适位置设立</w:t>
      </w:r>
      <w:r>
        <w:rPr>
          <w:rFonts w:hint="eastAsia" w:ascii="仿宋_GB2312" w:hAnsi="仿宋_GB2312" w:cs="仿宋_GB2312"/>
          <w:color w:val="auto"/>
          <w:sz w:val="32"/>
          <w:szCs w:val="32"/>
          <w:highlight w:val="none"/>
        </w:rPr>
        <w:t>对外营运的品牌名称，甲方承担相关的制作安装费用和日常使用成本。</w:t>
      </w:r>
    </w:p>
    <w:p w14:paraId="0C6FFF37">
      <w:pPr>
        <w:adjustRightInd w:val="0"/>
        <w:spacing w:beforeLines="0" w:line="560" w:lineRule="exact"/>
        <w:ind w:firstLine="640" w:firstLineChars="200"/>
        <w:rPr>
          <w:rFonts w:hint="eastAsia" w:ascii="黑体" w:hAnsi="黑体" w:eastAsia="黑体" w:cs="黑体"/>
          <w:color w:val="auto"/>
          <w:highlight w:val="none"/>
        </w:rPr>
      </w:pPr>
      <w:r>
        <w:rPr>
          <w:rFonts w:hint="eastAsia" w:ascii="黑体" w:hAnsi="黑体" w:eastAsia="黑体" w:cs="黑体"/>
          <w:color w:val="auto"/>
          <w:highlight w:val="none"/>
        </w:rPr>
        <w:t>二、项目发展支持</w:t>
      </w:r>
    </w:p>
    <w:p w14:paraId="6217220C">
      <w:pPr>
        <w:spacing w:before="0" w:beforeLines="0" w:line="560" w:lineRule="exact"/>
        <w:ind w:firstLine="643" w:firstLineChars="200"/>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lang w:eastAsia="zh-CN"/>
        </w:rPr>
        <w:t>（</w:t>
      </w:r>
      <w:r>
        <w:rPr>
          <w:rFonts w:hint="eastAsia" w:ascii="楷体_GB2312" w:hAnsi="楷体_GB2312" w:eastAsia="楷体_GB2312" w:cs="楷体_GB2312"/>
          <w:b/>
          <w:bCs/>
          <w:color w:val="auto"/>
          <w:sz w:val="32"/>
          <w:highlight w:val="none"/>
          <w:lang w:val="en-US" w:eastAsia="zh-CN"/>
        </w:rPr>
        <w:t>一</w:t>
      </w:r>
      <w:r>
        <w:rPr>
          <w:rFonts w:hint="eastAsia" w:ascii="楷体_GB2312" w:hAnsi="楷体_GB2312" w:eastAsia="楷体_GB2312" w:cs="楷体_GB2312"/>
          <w:b/>
          <w:bCs/>
          <w:color w:val="auto"/>
          <w:sz w:val="32"/>
          <w:highlight w:val="none"/>
          <w:lang w:eastAsia="zh-CN"/>
        </w:rPr>
        <w:t>）</w:t>
      </w:r>
      <w:r>
        <w:rPr>
          <w:rFonts w:hint="eastAsia" w:ascii="楷体_GB2312" w:hAnsi="楷体_GB2312" w:eastAsia="楷体_GB2312" w:cs="楷体_GB2312"/>
          <w:b/>
          <w:bCs/>
          <w:color w:val="auto"/>
          <w:sz w:val="32"/>
          <w:highlight w:val="none"/>
        </w:rPr>
        <w:t>运营费及支付标准</w:t>
      </w:r>
    </w:p>
    <w:p w14:paraId="19586528">
      <w:pPr>
        <w:spacing w:before="0" w:beforeLines="0" w:line="560" w:lineRule="exact"/>
        <w:ind w:firstLine="643" w:firstLineChars="200"/>
        <w:rPr>
          <w:rFonts w:hint="eastAsia" w:ascii="宋体" w:hAnsi="宋体" w:cs="宋体"/>
          <w:b/>
          <w:bCs/>
          <w:color w:val="auto"/>
          <w:sz w:val="32"/>
          <w:highlight w:val="none"/>
        </w:rPr>
      </w:pPr>
      <w:r>
        <w:rPr>
          <w:rFonts w:hint="eastAsia" w:ascii="宋体" w:hAnsi="宋体" w:cs="宋体"/>
          <w:b/>
          <w:bCs/>
          <w:color w:val="auto"/>
          <w:sz w:val="32"/>
          <w:highlight w:val="none"/>
          <w:lang w:val="en-US" w:eastAsia="zh-CN"/>
        </w:rPr>
        <w:t>1.</w:t>
      </w:r>
      <w:r>
        <w:rPr>
          <w:rFonts w:hint="eastAsia" w:ascii="宋体" w:hAnsi="宋体" w:cs="宋体"/>
          <w:b/>
          <w:bCs/>
          <w:color w:val="auto"/>
          <w:sz w:val="32"/>
          <w:highlight w:val="none"/>
        </w:rPr>
        <w:t>运营费标准</w:t>
      </w:r>
    </w:p>
    <w:p w14:paraId="72514E38">
      <w:pPr>
        <w:pStyle w:val="25"/>
        <w:spacing w:line="560" w:lineRule="exact"/>
        <w:ind w:firstLine="480"/>
        <w:rPr>
          <w:rFonts w:hint="default" w:ascii="宋体" w:hAnsi="宋体" w:eastAsia="仿宋_GB2312" w:cs="宋体"/>
          <w:color w:val="auto"/>
          <w:sz w:val="32"/>
          <w:highlight w:val="none"/>
          <w:lang w:val="en-US" w:eastAsia="zh-CN"/>
        </w:rPr>
      </w:pPr>
      <w:r>
        <w:rPr>
          <w:rFonts w:hint="eastAsia" w:ascii="宋体" w:hAnsi="宋体" w:cs="宋体"/>
          <w:color w:val="auto"/>
          <w:sz w:val="32"/>
          <w:highlight w:val="none"/>
        </w:rPr>
        <w:t>运营费支付标准【</w:t>
      </w:r>
      <w:r>
        <w:rPr>
          <w:rFonts w:hint="eastAsia" w:ascii="宋体" w:hAnsi="宋体" w:cs="宋体"/>
          <w:color w:val="auto"/>
          <w:sz w:val="32"/>
          <w:highlight w:val="none"/>
          <w:lang w:val="en-US" w:eastAsia="zh-CN"/>
        </w:rPr>
        <w:t xml:space="preserve">   </w:t>
      </w:r>
      <w:r>
        <w:rPr>
          <w:rFonts w:hint="eastAsia" w:ascii="宋体" w:hAnsi="宋体" w:cs="宋体"/>
          <w:color w:val="auto"/>
          <w:sz w:val="32"/>
          <w:highlight w:val="none"/>
        </w:rPr>
        <w:t>】万元/分。甲方应在</w:t>
      </w:r>
      <w:r>
        <w:rPr>
          <w:rFonts w:hint="eastAsia" w:ascii="宋体" w:hAnsi="宋体" w:cs="宋体"/>
          <w:color w:val="auto"/>
          <w:sz w:val="32"/>
          <w:highlight w:val="none"/>
          <w:lang w:val="en-US" w:eastAsia="zh-CN"/>
        </w:rPr>
        <w:t>每个运营年度开始时收到乙方开具的等额银行见索即付履约保函30日内，</w:t>
      </w:r>
      <w:r>
        <w:rPr>
          <w:rFonts w:hint="eastAsia" w:ascii="宋体" w:hAnsi="宋体" w:cs="宋体"/>
          <w:color w:val="auto"/>
          <w:sz w:val="32"/>
          <w:highlight w:val="none"/>
        </w:rPr>
        <w:t>向乙方预付【</w:t>
      </w:r>
      <w:r>
        <w:rPr>
          <w:rFonts w:hint="eastAsia" w:ascii="宋体" w:hAnsi="宋体" w:cs="宋体"/>
          <w:color w:val="auto"/>
          <w:sz w:val="32"/>
          <w:highlight w:val="none"/>
          <w:lang w:val="en-US" w:eastAsia="zh-CN"/>
        </w:rPr>
        <w:t>4</w:t>
      </w:r>
      <w:r>
        <w:rPr>
          <w:rFonts w:hint="eastAsia" w:ascii="宋体" w:hAnsi="宋体" w:cs="宋体"/>
          <w:color w:val="auto"/>
          <w:sz w:val="32"/>
          <w:highlight w:val="none"/>
        </w:rPr>
        <w:t>0】分费用即【</w:t>
      </w:r>
      <w:r>
        <w:rPr>
          <w:rFonts w:hint="eastAsia" w:ascii="宋体" w:hAnsi="宋体" w:cs="宋体"/>
          <w:color w:val="auto"/>
          <w:sz w:val="32"/>
          <w:highlight w:val="none"/>
          <w:lang w:val="en-US" w:eastAsia="zh-CN"/>
        </w:rPr>
        <w:t xml:space="preserve">   </w:t>
      </w:r>
      <w:r>
        <w:rPr>
          <w:rFonts w:hint="eastAsia" w:ascii="宋体" w:hAnsi="宋体" w:cs="宋体"/>
          <w:color w:val="auto"/>
          <w:sz w:val="32"/>
          <w:highlight w:val="none"/>
        </w:rPr>
        <w:t>】万元（大写：人民币【</w:t>
      </w:r>
      <w:r>
        <w:rPr>
          <w:rFonts w:hint="eastAsia" w:ascii="宋体" w:hAnsi="宋体" w:cs="宋体"/>
          <w:color w:val="auto"/>
          <w:sz w:val="32"/>
          <w:highlight w:val="none"/>
          <w:lang w:val="en-US" w:eastAsia="zh-CN"/>
        </w:rPr>
        <w:t xml:space="preserve">   </w:t>
      </w:r>
      <w:r>
        <w:rPr>
          <w:rFonts w:hint="eastAsia" w:ascii="宋体" w:hAnsi="宋体" w:cs="宋体"/>
          <w:color w:val="auto"/>
          <w:sz w:val="32"/>
          <w:highlight w:val="none"/>
        </w:rPr>
        <w:t>】万元整）</w:t>
      </w:r>
      <w:r>
        <w:rPr>
          <w:rFonts w:hint="eastAsia" w:ascii="宋体" w:hAnsi="宋体" w:cs="宋体"/>
          <w:color w:val="auto"/>
          <w:sz w:val="32"/>
          <w:highlight w:val="none"/>
          <w:lang w:val="en-US" w:eastAsia="zh-CN"/>
        </w:rPr>
        <w:t>。首个运营年度，乙方还需满足科创园平台成立（完成运营公司注册）、科创园运营团队启动办公（完成项目负责人到位并开展工作）、制定科创园运营管理方案和完成科创园招商方案（完成两个方案并提交给甲方）签约入驻的必要启动条件后</w:t>
      </w:r>
      <w:r>
        <w:rPr>
          <w:rFonts w:hint="default" w:ascii="宋体" w:hAnsi="宋体" w:cs="宋体"/>
          <w:color w:val="auto"/>
          <w:sz w:val="32"/>
          <w:highlight w:val="none"/>
          <w:lang w:val="en-US" w:eastAsia="zh-CN"/>
        </w:rPr>
        <w:t>3</w:t>
      </w:r>
      <w:r>
        <w:rPr>
          <w:rFonts w:hint="eastAsia" w:ascii="宋体" w:hAnsi="宋体" w:cs="宋体"/>
          <w:color w:val="auto"/>
          <w:sz w:val="32"/>
          <w:highlight w:val="none"/>
          <w:lang w:val="en-US" w:eastAsia="zh-CN"/>
        </w:rPr>
        <w:t>0</w:t>
      </w:r>
      <w:r>
        <w:rPr>
          <w:rFonts w:hint="eastAsia" w:ascii="宋体" w:hAnsi="宋体" w:cs="宋体"/>
          <w:color w:val="auto"/>
          <w:sz w:val="32"/>
          <w:highlight w:val="none"/>
          <w:lang w:eastAsia="zh-CN"/>
        </w:rPr>
        <w:t>日</w:t>
      </w:r>
      <w:r>
        <w:rPr>
          <w:rFonts w:hint="eastAsia" w:ascii="宋体" w:hAnsi="宋体" w:cs="宋体"/>
          <w:color w:val="auto"/>
          <w:sz w:val="32"/>
          <w:highlight w:val="none"/>
        </w:rPr>
        <w:t>内，</w:t>
      </w:r>
      <w:r>
        <w:rPr>
          <w:rFonts w:hint="eastAsia" w:ascii="宋体" w:hAnsi="宋体" w:cs="宋体"/>
          <w:color w:val="auto"/>
          <w:sz w:val="32"/>
          <w:highlight w:val="none"/>
          <w:lang w:val="en-US" w:eastAsia="zh-CN"/>
        </w:rPr>
        <w:t>预付</w:t>
      </w:r>
      <w:r>
        <w:rPr>
          <w:rFonts w:hint="eastAsia" w:ascii="宋体" w:hAnsi="宋体" w:cs="宋体"/>
          <w:color w:val="auto"/>
          <w:sz w:val="32"/>
          <w:highlight w:val="none"/>
        </w:rPr>
        <w:t>运营费【</w:t>
      </w:r>
      <w:r>
        <w:rPr>
          <w:rFonts w:hint="eastAsia" w:ascii="宋体" w:hAnsi="宋体" w:cs="宋体"/>
          <w:color w:val="auto"/>
          <w:sz w:val="32"/>
          <w:highlight w:val="none"/>
          <w:lang w:val="en-US" w:eastAsia="zh-CN"/>
        </w:rPr>
        <w:t xml:space="preserve">    </w:t>
      </w:r>
      <w:r>
        <w:rPr>
          <w:rFonts w:hint="eastAsia" w:ascii="宋体" w:hAnsi="宋体" w:cs="宋体"/>
          <w:color w:val="auto"/>
          <w:sz w:val="32"/>
          <w:highlight w:val="none"/>
        </w:rPr>
        <w:t>】万元。</w:t>
      </w:r>
    </w:p>
    <w:p w14:paraId="4FE19C35">
      <w:pPr>
        <w:spacing w:before="0" w:beforeLines="0" w:line="560" w:lineRule="exact"/>
        <w:ind w:firstLine="643" w:firstLineChars="200"/>
        <w:rPr>
          <w:rFonts w:hint="eastAsia" w:ascii="宋体" w:hAnsi="宋体" w:cs="宋体"/>
          <w:b/>
          <w:bCs/>
          <w:color w:val="auto"/>
          <w:sz w:val="32"/>
          <w:highlight w:val="none"/>
        </w:rPr>
      </w:pPr>
      <w:r>
        <w:rPr>
          <w:rFonts w:hint="eastAsia" w:ascii="宋体" w:hAnsi="宋体" w:cs="宋体"/>
          <w:b/>
          <w:bCs/>
          <w:color w:val="auto"/>
          <w:sz w:val="32"/>
          <w:highlight w:val="none"/>
          <w:lang w:val="en-US" w:eastAsia="zh-CN"/>
        </w:rPr>
        <w:t>2.</w:t>
      </w:r>
      <w:r>
        <w:rPr>
          <w:rFonts w:hint="eastAsia" w:ascii="宋体" w:hAnsi="宋体" w:cs="宋体"/>
          <w:b/>
          <w:bCs/>
          <w:color w:val="auto"/>
          <w:sz w:val="32"/>
          <w:highlight w:val="none"/>
        </w:rPr>
        <w:t>支付时间和考核</w:t>
      </w:r>
    </w:p>
    <w:p w14:paraId="0974DA84">
      <w:pPr>
        <w:pStyle w:val="25"/>
        <w:spacing w:line="560" w:lineRule="exact"/>
        <w:ind w:firstLine="480"/>
        <w:rPr>
          <w:rFonts w:hint="eastAsia" w:ascii="宋体" w:hAnsi="宋体" w:cs="宋体"/>
          <w:color w:val="auto"/>
          <w:sz w:val="32"/>
          <w:szCs w:val="32"/>
          <w:highlight w:val="none"/>
        </w:rPr>
      </w:pPr>
      <w:r>
        <w:rPr>
          <w:rFonts w:hint="eastAsia" w:ascii="宋体" w:hAnsi="宋体" w:cs="宋体"/>
          <w:color w:val="auto"/>
          <w:sz w:val="32"/>
          <w:highlight w:val="none"/>
          <w:lang w:val="en-US" w:eastAsia="zh-CN"/>
        </w:rPr>
        <w:t>乙</w:t>
      </w:r>
      <w:r>
        <w:rPr>
          <w:rFonts w:hint="eastAsia" w:ascii="宋体" w:hAnsi="宋体" w:cs="宋体"/>
          <w:color w:val="auto"/>
          <w:sz w:val="32"/>
          <w:highlight w:val="none"/>
        </w:rPr>
        <w:t>方每</w:t>
      </w:r>
      <w:r>
        <w:rPr>
          <w:rFonts w:hint="eastAsia" w:ascii="宋体" w:hAnsi="宋体" w:cs="宋体"/>
          <w:color w:val="auto"/>
          <w:sz w:val="32"/>
          <w:szCs w:val="32"/>
          <w:highlight w:val="none"/>
          <w:lang w:val="en-US" w:eastAsia="zh-CN"/>
        </w:rPr>
        <w:t>个运营</w:t>
      </w:r>
      <w:r>
        <w:rPr>
          <w:rFonts w:hint="eastAsia" w:ascii="宋体" w:hAnsi="宋体" w:cs="宋体"/>
          <w:color w:val="auto"/>
          <w:sz w:val="32"/>
          <w:highlight w:val="none"/>
          <w:lang w:val="en-US" w:eastAsia="zh-CN"/>
        </w:rPr>
        <w:t>年度向甲</w:t>
      </w:r>
      <w:r>
        <w:rPr>
          <w:rFonts w:hint="eastAsia" w:ascii="宋体" w:hAnsi="宋体" w:cs="宋体"/>
          <w:color w:val="auto"/>
          <w:sz w:val="32"/>
          <w:highlight w:val="none"/>
        </w:rPr>
        <w:t>方</w:t>
      </w:r>
      <w:r>
        <w:rPr>
          <w:rFonts w:hint="eastAsia" w:ascii="宋体" w:hAnsi="宋体" w:cs="宋体"/>
          <w:color w:val="auto"/>
          <w:sz w:val="32"/>
          <w:highlight w:val="none"/>
          <w:lang w:val="en-US" w:eastAsia="zh-CN"/>
        </w:rPr>
        <w:t>申请</w:t>
      </w:r>
      <w:r>
        <w:rPr>
          <w:rFonts w:hint="eastAsia" w:ascii="宋体" w:hAnsi="宋体" w:cs="宋体"/>
          <w:color w:val="auto"/>
          <w:sz w:val="32"/>
          <w:highlight w:val="none"/>
        </w:rPr>
        <w:t>一次考核。每个考核周期结束后</w:t>
      </w:r>
      <w:r>
        <w:rPr>
          <w:rFonts w:hint="eastAsia" w:ascii="宋体" w:hAnsi="宋体" w:cs="宋体"/>
          <w:color w:val="auto"/>
          <w:sz w:val="32"/>
          <w:highlight w:val="none"/>
          <w:lang w:val="en-US" w:eastAsia="zh-CN"/>
        </w:rPr>
        <w:t>30个工作日</w:t>
      </w:r>
      <w:r>
        <w:rPr>
          <w:rFonts w:hint="eastAsia" w:ascii="宋体" w:hAnsi="宋体" w:cs="宋体"/>
          <w:color w:val="auto"/>
          <w:sz w:val="32"/>
          <w:highlight w:val="none"/>
        </w:rPr>
        <w:t>内，甲方按本合同第一条第（四）款约定的</w:t>
      </w:r>
      <w:r>
        <w:rPr>
          <w:rFonts w:hint="eastAsia" w:ascii="宋体" w:hAnsi="宋体" w:cs="宋体"/>
          <w:color w:val="auto"/>
          <w:sz w:val="32"/>
          <w:highlight w:val="none"/>
          <w:lang w:val="en-US" w:eastAsia="zh-CN"/>
        </w:rPr>
        <w:t>合作</w:t>
      </w:r>
      <w:r>
        <w:rPr>
          <w:rFonts w:hint="eastAsia" w:ascii="宋体" w:hAnsi="宋体" w:cs="宋体"/>
          <w:color w:val="auto"/>
          <w:sz w:val="32"/>
          <w:highlight w:val="none"/>
        </w:rPr>
        <w:t>目标，对乙方进行考核并出具考核结果。甲方应在考核完成后</w:t>
      </w:r>
      <w:r>
        <w:rPr>
          <w:rFonts w:hint="eastAsia" w:ascii="宋体" w:hAnsi="宋体" w:cs="宋体"/>
          <w:color w:val="auto"/>
          <w:sz w:val="32"/>
          <w:highlight w:val="none"/>
          <w:lang w:val="en-US" w:eastAsia="zh-CN"/>
        </w:rPr>
        <w:t>30个工作</w:t>
      </w:r>
      <w:r>
        <w:rPr>
          <w:rFonts w:hint="eastAsia" w:ascii="宋体" w:hAnsi="宋体" w:cs="宋体"/>
          <w:color w:val="auto"/>
          <w:sz w:val="32"/>
          <w:highlight w:val="none"/>
          <w:lang w:eastAsia="zh-CN"/>
        </w:rPr>
        <w:t>日</w:t>
      </w:r>
      <w:r>
        <w:rPr>
          <w:rFonts w:hint="eastAsia" w:ascii="宋体" w:hAnsi="宋体" w:cs="宋体"/>
          <w:color w:val="auto"/>
          <w:sz w:val="32"/>
          <w:highlight w:val="none"/>
        </w:rPr>
        <w:t>内，根据考核结果支付</w:t>
      </w:r>
      <w:r>
        <w:rPr>
          <w:rFonts w:hint="eastAsia" w:ascii="宋体" w:hAnsi="宋体" w:cs="宋体"/>
          <w:color w:val="auto"/>
          <w:sz w:val="32"/>
          <w:highlight w:val="none"/>
          <w:lang w:val="en-US" w:eastAsia="zh-CN"/>
        </w:rPr>
        <w:t>年度</w:t>
      </w:r>
      <w:r>
        <w:rPr>
          <w:rFonts w:hint="eastAsia" w:ascii="宋体" w:hAnsi="宋体" w:cs="宋体"/>
          <w:color w:val="auto"/>
          <w:sz w:val="32"/>
          <w:highlight w:val="none"/>
        </w:rPr>
        <w:t xml:space="preserve">运营费，每次支付的运营费标准为（运营考核总得分×运营费支付标准-当运营年度已经预付的运营费）。 </w:t>
      </w:r>
    </w:p>
    <w:p w14:paraId="6AAACBBC">
      <w:pPr>
        <w:pStyle w:val="27"/>
        <w:spacing w:line="560" w:lineRule="exact"/>
        <w:ind w:firstLine="640"/>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如乙方因自身原因年终考核总得分低于40分的，乙方应退还当年度已预收的运营费；但合同履行过程中出现不可抗力因素，如出台新的法律、行政法规、政府规章、规范性文件及政策变化，给本协议的履行造成重大影响的，乙方可扣除已实际完成分数对应的费用后退还剩余款项。</w:t>
      </w:r>
    </w:p>
    <w:p w14:paraId="41715722">
      <w:pPr>
        <w:pStyle w:val="27"/>
        <w:spacing w:line="560" w:lineRule="exact"/>
        <w:ind w:firstLine="640"/>
        <w:rPr>
          <w:rFonts w:hint="default" w:ascii="宋体" w:hAnsi="宋体" w:eastAsia="仿宋_GB2312" w:cs="宋体"/>
          <w:color w:val="auto"/>
          <w:sz w:val="32"/>
          <w:szCs w:val="32"/>
          <w:highlight w:val="none"/>
          <w:lang w:val="en-US" w:eastAsia="zh-CN"/>
        </w:rPr>
      </w:pPr>
      <w:r>
        <w:rPr>
          <w:rFonts w:hint="eastAsia" w:ascii="宋体" w:hAnsi="宋体" w:cs="宋体"/>
          <w:color w:val="auto"/>
          <w:sz w:val="32"/>
          <w:szCs w:val="32"/>
          <w:highlight w:val="none"/>
          <w:lang w:val="en-US" w:eastAsia="zh-CN"/>
        </w:rPr>
        <w:t>乙方应协助甲方共同对接管理局，并按照管理局的要求提交企业的考核材料，乙方应积极协助甲方共同推进管理局的费用支付工作。如因乙方考核材料原因导致甲方未能及时收到管理局的考核费用，乙方应积极修改调整材料确保甲方有效推进管理局的考核材料，且甲方不承担材料调整期间导致的延期支付风险，也不承担材料调整期间对乙方的支付违约责任。</w:t>
      </w:r>
    </w:p>
    <w:p w14:paraId="45267BA9">
      <w:pPr>
        <w:pStyle w:val="25"/>
        <w:spacing w:line="560" w:lineRule="exact"/>
        <w:ind w:firstLine="482"/>
        <w:rPr>
          <w:rFonts w:hint="eastAsia" w:ascii="宋体" w:hAnsi="宋体" w:cs="宋体"/>
          <w:b/>
          <w:bCs/>
          <w:color w:val="auto"/>
          <w:sz w:val="32"/>
          <w:highlight w:val="none"/>
        </w:rPr>
      </w:pPr>
      <w:r>
        <w:rPr>
          <w:rFonts w:hint="eastAsia" w:ascii="宋体" w:hAnsi="宋体" w:cs="宋体"/>
          <w:b/>
          <w:bCs/>
          <w:color w:val="auto"/>
          <w:sz w:val="32"/>
          <w:highlight w:val="none"/>
          <w:lang w:val="en-US" w:eastAsia="zh-CN"/>
        </w:rPr>
        <w:t>3.</w:t>
      </w:r>
      <w:r>
        <w:rPr>
          <w:rFonts w:hint="eastAsia" w:ascii="宋体" w:hAnsi="宋体" w:cs="宋体"/>
          <w:b/>
          <w:bCs/>
          <w:color w:val="auto"/>
          <w:sz w:val="32"/>
          <w:highlight w:val="none"/>
        </w:rPr>
        <w:t xml:space="preserve">账户信息 </w:t>
      </w:r>
    </w:p>
    <w:p w14:paraId="4AD0CE50">
      <w:pPr>
        <w:spacing w:line="560" w:lineRule="exact"/>
        <w:ind w:firstLine="640" w:firstLineChars="200"/>
        <w:rPr>
          <w:rFonts w:hint="eastAsia" w:ascii="宋体" w:hAnsi="宋体" w:cs="宋体"/>
          <w:color w:val="auto"/>
          <w:sz w:val="32"/>
          <w:highlight w:val="none"/>
        </w:rPr>
      </w:pPr>
      <w:r>
        <w:rPr>
          <w:rFonts w:hint="eastAsia" w:ascii="宋体" w:hAnsi="宋体" w:cs="宋体"/>
          <w:color w:val="auto"/>
          <w:sz w:val="32"/>
          <w:highlight w:val="none"/>
        </w:rPr>
        <w:t>乙方银行账户信息如下：</w:t>
      </w:r>
    </w:p>
    <w:p w14:paraId="52BD9698">
      <w:pPr>
        <w:spacing w:line="560" w:lineRule="exact"/>
        <w:ind w:firstLine="640" w:firstLineChars="200"/>
        <w:rPr>
          <w:rFonts w:hint="eastAsia" w:ascii="宋体" w:hAnsi="宋体" w:cs="宋体"/>
          <w:color w:val="auto"/>
          <w:sz w:val="32"/>
          <w:highlight w:val="none"/>
        </w:rPr>
      </w:pPr>
      <w:r>
        <w:rPr>
          <w:rFonts w:hint="eastAsia" w:ascii="宋体" w:hAnsi="宋体" w:cs="宋体"/>
          <w:color w:val="auto"/>
          <w:sz w:val="32"/>
          <w:highlight w:val="none"/>
        </w:rPr>
        <w:t>公司名称：</w:t>
      </w:r>
    </w:p>
    <w:p w14:paraId="4AB36578">
      <w:pPr>
        <w:spacing w:line="560" w:lineRule="exact"/>
        <w:ind w:firstLine="640" w:firstLineChars="200"/>
        <w:rPr>
          <w:rFonts w:hint="eastAsia" w:ascii="宋体" w:hAnsi="宋体" w:cs="宋体"/>
          <w:color w:val="auto"/>
          <w:sz w:val="32"/>
          <w:highlight w:val="none"/>
        </w:rPr>
      </w:pPr>
      <w:r>
        <w:rPr>
          <w:rFonts w:hint="eastAsia" w:ascii="宋体" w:hAnsi="宋体" w:cs="宋体"/>
          <w:color w:val="auto"/>
          <w:sz w:val="32"/>
          <w:highlight w:val="none"/>
        </w:rPr>
        <w:t>开户银行：</w:t>
      </w:r>
    </w:p>
    <w:p w14:paraId="5C55FA17">
      <w:pPr>
        <w:spacing w:line="560" w:lineRule="exact"/>
        <w:ind w:firstLine="640" w:firstLineChars="200"/>
        <w:rPr>
          <w:rFonts w:hint="eastAsia" w:ascii="宋体" w:hAnsi="宋体" w:cs="宋体"/>
          <w:color w:val="auto"/>
          <w:sz w:val="32"/>
          <w:highlight w:val="none"/>
        </w:rPr>
      </w:pPr>
      <w:r>
        <w:rPr>
          <w:rFonts w:hint="eastAsia" w:ascii="宋体" w:hAnsi="宋体" w:cs="宋体"/>
          <w:color w:val="auto"/>
          <w:sz w:val="32"/>
          <w:highlight w:val="none"/>
        </w:rPr>
        <w:t>银行账号：</w:t>
      </w:r>
    </w:p>
    <w:p w14:paraId="6B9BBC62">
      <w:pPr>
        <w:adjustRightInd w:val="0"/>
        <w:spacing w:line="560" w:lineRule="exact"/>
        <w:ind w:firstLine="640" w:firstLineChars="200"/>
        <w:rPr>
          <w:rFonts w:hint="eastAsia" w:ascii="黑体" w:hAnsi="黑体" w:eastAsia="黑体" w:cs="黑体"/>
          <w:color w:val="auto"/>
          <w:highlight w:val="none"/>
        </w:rPr>
      </w:pPr>
      <w:r>
        <w:rPr>
          <w:rFonts w:hint="eastAsia" w:ascii="黑体" w:hAnsi="黑体" w:eastAsia="黑体" w:cs="黑体"/>
          <w:color w:val="auto"/>
          <w:highlight w:val="none"/>
        </w:rPr>
        <w:t>三、双方权利及义务</w:t>
      </w:r>
    </w:p>
    <w:p w14:paraId="3E7C87C4">
      <w:pPr>
        <w:pStyle w:val="25"/>
        <w:spacing w:line="560" w:lineRule="exact"/>
        <w:ind w:firstLine="480"/>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（一）甲方权利及义务</w:t>
      </w:r>
    </w:p>
    <w:p w14:paraId="3D613092">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甲方为乙方业务开展落地提供必要支持，积极配合乙方对企业招引、各类活动举办及商业配套引入等工作，提供乙方所引进企业工商注册及资质办理所需的包括产权证在内的必要文件，并积极配合协调有关政府部门解决办理过程中遇到的问题。</w:t>
      </w:r>
    </w:p>
    <w:p w14:paraId="35DB6764">
      <w:pPr>
        <w:pStyle w:val="25"/>
        <w:spacing w:line="560" w:lineRule="exact"/>
        <w:ind w:firstLine="480"/>
        <w:rPr>
          <w:rFonts w:hint="eastAsia" w:ascii="宋体" w:hAnsi="宋体" w:cs="宋体"/>
          <w:color w:val="auto"/>
          <w:sz w:val="32"/>
          <w:szCs w:val="32"/>
          <w:highlight w:val="none"/>
        </w:rPr>
      </w:pPr>
      <w:r>
        <w:rPr>
          <w:rFonts w:hint="eastAsia" w:ascii="宋体" w:hAnsi="宋体" w:cs="宋体"/>
          <w:color w:val="auto"/>
          <w:sz w:val="32"/>
          <w:highlight w:val="none"/>
        </w:rPr>
        <w:t>2.甲方积极支持和协助乙方申请享受符合规定的国家、海南省、海口市及江东新区等各级各类企业支持政策。如政策发生重大变化，双方应该就乙方的考核指标、管理费用进行协商调整或协商解除合同。</w:t>
      </w:r>
    </w:p>
    <w:p w14:paraId="052D5DEE">
      <w:pPr>
        <w:pStyle w:val="27"/>
        <w:keepNext w:val="0"/>
        <w:keepLines w:val="0"/>
        <w:pageBreakBefore w:val="0"/>
        <w:kinsoku/>
        <w:wordWrap/>
        <w:overflowPunct/>
        <w:topLinePunct w:val="0"/>
        <w:autoSpaceDE/>
        <w:autoSpaceDN/>
        <w:bidi w:val="0"/>
        <w:adjustRightInd/>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在协议履行期内，如因法律、法规、规章或规范性文件的制定、修改、废止，或因</w:t>
      </w:r>
      <w:r>
        <w:rPr>
          <w:rFonts w:hint="eastAsia" w:ascii="仿宋_GB2312" w:hAnsi="仿宋_GB2312" w:cs="仿宋_GB2312"/>
          <w:color w:val="auto"/>
          <w:sz w:val="32"/>
          <w:szCs w:val="32"/>
          <w:highlight w:val="none"/>
          <w:lang w:val="en-US" w:eastAsia="zh-CN"/>
        </w:rPr>
        <w:t>政府</w:t>
      </w:r>
      <w:r>
        <w:rPr>
          <w:rFonts w:hint="eastAsia" w:ascii="仿宋_GB2312" w:hAnsi="仿宋_GB2312" w:eastAsia="仿宋_GB2312" w:cs="仿宋_GB2312"/>
          <w:color w:val="auto"/>
          <w:sz w:val="32"/>
          <w:szCs w:val="32"/>
          <w:highlight w:val="none"/>
        </w:rPr>
        <w:t>有关部门出台、调整与本协议相关的产业支持政策，导致本协议约定的支持条件、标准或力度发生变化的，双方同意按以下原则处理：</w:t>
      </w:r>
    </w:p>
    <w:p w14:paraId="499078ED">
      <w:pPr>
        <w:pStyle w:val="27"/>
        <w:keepNext w:val="0"/>
        <w:keepLines w:val="0"/>
        <w:pageBreakBefore w:val="0"/>
        <w:kinsoku/>
        <w:wordWrap/>
        <w:overflowPunct/>
        <w:topLinePunct w:val="0"/>
        <w:autoSpaceDE/>
        <w:autoSpaceDN/>
        <w:bidi w:val="0"/>
        <w:adjustRightInd/>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策变动调整：如新政策规定的支持标准低于本协议约定，或本协议约定的支持内容与新政策存在冲突或约定不明确的，则本协议相关条款应自动按照新政策规定的标准调整执行。甲方应就政策变动及协议调整事宜，提前或及时书面通知乙方</w:t>
      </w:r>
      <w:r>
        <w:rPr>
          <w:rFonts w:hint="eastAsia" w:ascii="仿宋_GB2312" w:hAnsi="仿宋_GB2312" w:cs="仿宋_GB2312"/>
          <w:color w:val="auto"/>
          <w:sz w:val="32"/>
          <w:szCs w:val="32"/>
          <w:highlight w:val="none"/>
          <w:lang w:eastAsia="zh-CN"/>
        </w:rPr>
        <w:t>，双方应该就乙方的考核指标、管理费用进行协商调整或协商解除合同，</w:t>
      </w:r>
      <w:r>
        <w:rPr>
          <w:rFonts w:hint="eastAsia" w:ascii="仿宋_GB2312" w:hAnsi="仿宋_GB2312" w:cs="仿宋_GB2312"/>
          <w:color w:val="auto"/>
          <w:sz w:val="32"/>
          <w:szCs w:val="32"/>
          <w:highlight w:val="none"/>
          <w:lang w:val="en-US" w:eastAsia="zh-CN"/>
        </w:rPr>
        <w:t>甲方不承担违约责任</w:t>
      </w:r>
      <w:r>
        <w:rPr>
          <w:rFonts w:hint="eastAsia" w:ascii="仿宋_GB2312" w:hAnsi="仿宋_GB2312" w:eastAsia="仿宋_GB2312" w:cs="仿宋_GB2312"/>
          <w:color w:val="auto"/>
          <w:sz w:val="32"/>
          <w:szCs w:val="32"/>
          <w:highlight w:val="none"/>
        </w:rPr>
        <w:t>。</w:t>
      </w:r>
    </w:p>
    <w:p w14:paraId="492F83D8">
      <w:pPr>
        <w:pStyle w:val="25"/>
        <w:spacing w:line="560" w:lineRule="exact"/>
        <w:ind w:firstLine="480"/>
        <w:rPr>
          <w:rFonts w:hint="eastAsia" w:ascii="宋体" w:hAnsi="宋体" w:cs="宋体"/>
          <w:color w:val="auto"/>
          <w:sz w:val="32"/>
          <w:highlight w:val="none"/>
        </w:rPr>
      </w:pPr>
      <w:r>
        <w:rPr>
          <w:rFonts w:hint="eastAsia" w:ascii="仿宋_GB2312" w:hAnsi="仿宋_GB2312" w:eastAsia="仿宋_GB2312" w:cs="仿宋_GB2312"/>
          <w:color w:val="auto"/>
          <w:sz w:val="32"/>
          <w:szCs w:val="32"/>
          <w:highlight w:val="none"/>
        </w:rPr>
        <w:t>争议协商与解决：因政策变动或支付问题引发的任何争议，双方应首先友好协商解决。协商不成的，任何一方均有权向本协议约定的争议解决方式寻求救济。</w:t>
      </w:r>
    </w:p>
    <w:p w14:paraId="446AB2DD">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3.</w:t>
      </w:r>
      <w:r>
        <w:rPr>
          <w:rFonts w:hint="default" w:ascii="宋体" w:hAnsi="宋体" w:cs="宋体"/>
          <w:color w:val="auto"/>
          <w:sz w:val="32"/>
          <w:highlight w:val="none"/>
          <w:lang w:val="en-US"/>
        </w:rPr>
        <w:t>甲方有权要求乙方在承诺时间内开展实质性运营</w:t>
      </w:r>
      <w:r>
        <w:rPr>
          <w:rFonts w:hint="eastAsia" w:ascii="宋体" w:hAnsi="宋体" w:cs="宋体"/>
          <w:color w:val="auto"/>
          <w:sz w:val="32"/>
          <w:highlight w:val="none"/>
          <w:lang w:val="en-US" w:eastAsia="zh-CN"/>
        </w:rPr>
        <w:t>，乙方确认</w:t>
      </w:r>
      <w:r>
        <w:rPr>
          <w:rFonts w:hint="eastAsia" w:ascii="宋体" w:hAnsi="宋体" w:cs="宋体"/>
          <w:color w:val="auto"/>
          <w:sz w:val="32"/>
          <w:highlight w:val="none"/>
        </w:rPr>
        <w:t>，如乙方签署本协议后</w:t>
      </w:r>
      <w:r>
        <w:rPr>
          <w:rFonts w:hint="eastAsia" w:ascii="宋体" w:hAnsi="宋体" w:cs="宋体"/>
          <w:color w:val="auto"/>
          <w:sz w:val="32"/>
          <w:szCs w:val="32"/>
          <w:highlight w:val="none"/>
          <w:lang w:eastAsia="zh-CN"/>
        </w:rPr>
        <w:t>2</w:t>
      </w:r>
      <w:r>
        <w:rPr>
          <w:rFonts w:hint="eastAsia" w:ascii="宋体" w:hAnsi="宋体" w:cs="宋体"/>
          <w:color w:val="auto"/>
          <w:sz w:val="32"/>
          <w:szCs w:val="32"/>
          <w:highlight w:val="none"/>
          <w:lang w:val="en-US" w:eastAsia="zh-CN"/>
        </w:rPr>
        <w:t>026年</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宋体" w:hAnsi="宋体" w:cs="宋体"/>
          <w:color w:val="auto"/>
          <w:sz w:val="32"/>
          <w:szCs w:val="32"/>
          <w:highlight w:val="none"/>
          <w:lang w:val="en-US" w:eastAsia="zh-CN"/>
        </w:rPr>
        <w:t>月</w:t>
      </w:r>
      <w:r>
        <w:rPr>
          <w:rFonts w:hint="eastAsia" w:ascii="仿宋_GB2312"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eastAsia="zh-CN"/>
        </w:rPr>
        <w:t>】</w:t>
      </w:r>
      <w:r>
        <w:rPr>
          <w:rFonts w:hint="eastAsia" w:ascii="宋体" w:hAnsi="宋体" w:cs="宋体"/>
          <w:color w:val="auto"/>
          <w:sz w:val="32"/>
          <w:szCs w:val="32"/>
          <w:highlight w:val="none"/>
          <w:lang w:val="en-US" w:eastAsia="zh-CN"/>
        </w:rPr>
        <w:t>日前</w:t>
      </w:r>
      <w:r>
        <w:rPr>
          <w:rFonts w:hint="eastAsia" w:ascii="宋体" w:hAnsi="宋体" w:cs="宋体"/>
          <w:color w:val="auto"/>
          <w:sz w:val="32"/>
          <w:highlight w:val="none"/>
        </w:rPr>
        <w:t>未在海口江东新区开展实质性运营，或连续三个月无法满足在海口江东新区开展实际性运营要求的，甲方有权终止本协议履行。</w:t>
      </w:r>
    </w:p>
    <w:p w14:paraId="2D2E004F">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4.如乙方在年度考核后，考核分数低于40分（不含），</w:t>
      </w:r>
      <w:r>
        <w:rPr>
          <w:rFonts w:hint="eastAsia" w:ascii="宋体" w:hAnsi="宋体" w:cs="宋体"/>
          <w:color w:val="auto"/>
          <w:sz w:val="32"/>
          <w:highlight w:val="none"/>
        </w:rPr>
        <w:t>甲方有权终止本协议履行</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并根据本协议第二条第（一）款第2点支付时间和考核相关要求执行</w:t>
      </w:r>
      <w:r>
        <w:rPr>
          <w:rFonts w:hint="eastAsia" w:ascii="宋体" w:hAnsi="宋体" w:cs="宋体"/>
          <w:color w:val="auto"/>
          <w:sz w:val="32"/>
          <w:highlight w:val="none"/>
        </w:rPr>
        <w:t>。</w:t>
      </w:r>
    </w:p>
    <w:p w14:paraId="1FA28909">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5</w:t>
      </w:r>
      <w:r>
        <w:rPr>
          <w:rFonts w:hint="eastAsia" w:ascii="宋体" w:hAnsi="宋体" w:cs="宋体"/>
          <w:color w:val="auto"/>
          <w:sz w:val="32"/>
          <w:highlight w:val="none"/>
        </w:rPr>
        <w:t>.甲方有权对乙方资金到位、业务落地、项目开发建设进度和质量进行督办检查，有权对乙方提报的申请支持材料进行核查，并有权对乙方违约或不诚信行为进行惩处。</w:t>
      </w:r>
    </w:p>
    <w:p w14:paraId="23BFF9AD">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6</w:t>
      </w:r>
      <w:r>
        <w:rPr>
          <w:rFonts w:hint="eastAsia" w:ascii="宋体" w:hAnsi="宋体" w:cs="宋体"/>
          <w:color w:val="auto"/>
          <w:sz w:val="32"/>
          <w:highlight w:val="none"/>
        </w:rPr>
        <w:t>.甲方在合法合规的前提下，鼓励乙方积极参与建设，支持乙方在海口做大做强，积极协调解决乙方在海口业务发展中的困难和问题。</w:t>
      </w:r>
    </w:p>
    <w:p w14:paraId="02B0BD85">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7</w:t>
      </w:r>
      <w:r>
        <w:rPr>
          <w:rFonts w:hint="eastAsia" w:ascii="宋体" w:hAnsi="宋体" w:cs="宋体"/>
          <w:color w:val="auto"/>
          <w:sz w:val="32"/>
          <w:highlight w:val="none"/>
        </w:rPr>
        <w:t>.法律、法规规定和本协议约定的其他权利和义务。</w:t>
      </w:r>
    </w:p>
    <w:p w14:paraId="4665B318">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8</w:t>
      </w:r>
      <w:r>
        <w:rPr>
          <w:rFonts w:hint="eastAsia" w:ascii="宋体" w:hAnsi="宋体" w:cs="宋体"/>
          <w:color w:val="auto"/>
          <w:sz w:val="32"/>
          <w:highlight w:val="none"/>
        </w:rPr>
        <w:t>.甲方承诺按本合同约定将委托项目载体交付给乙方运营与管理，并保证对该房屋具有行使本合同相关权利义务所对应的合法使用权。</w:t>
      </w:r>
    </w:p>
    <w:p w14:paraId="635CD237">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8.一方在合作过程中应保守所知的另一方或运营公司的所有商业秘密，不得向任何第三方透露。</w:t>
      </w:r>
    </w:p>
    <w:p w14:paraId="066FF178">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9.</w:t>
      </w:r>
      <w:r>
        <w:rPr>
          <w:rFonts w:hint="eastAsia" w:ascii="宋体" w:hAnsi="宋体"/>
          <w:color w:val="auto"/>
          <w:sz w:val="32"/>
          <w:highlight w:val="none"/>
        </w:rPr>
        <w:t>甲方保证委托运营载体权属清晰，甲方有权自主支配委托运营载体且不存在争议，若其他第三方对委托运营载体设定抵押、质押、担保等限制性权利，甲方应提前一个月通知乙方，如因甲方载体使用权受到限制等原因造成乙方无法正常提供委托运营服务，且此等情形累计时间达三个月，乙方有权解除合同不承</w:t>
      </w:r>
      <w:r>
        <w:rPr>
          <w:rFonts w:hint="eastAsia" w:ascii="宋体" w:hAnsi="宋体" w:cs="宋体"/>
          <w:color w:val="auto"/>
          <w:sz w:val="32"/>
          <w:highlight w:val="none"/>
        </w:rPr>
        <w:t>担任何违约责任，甲方除应支付乙方已经完成指标对应的费用，还应按照本合同</w:t>
      </w:r>
      <w:r>
        <w:rPr>
          <w:rFonts w:hint="eastAsia" w:ascii="宋体" w:hAnsi="宋体" w:cs="宋体"/>
          <w:b/>
          <w:bCs/>
          <w:color w:val="auto"/>
          <w:sz w:val="32"/>
          <w:highlight w:val="none"/>
        </w:rPr>
        <w:t>第四条</w:t>
      </w:r>
      <w:r>
        <w:rPr>
          <w:rFonts w:hint="eastAsia" w:ascii="宋体" w:hAnsi="宋体" w:cs="宋体"/>
          <w:color w:val="auto"/>
          <w:sz w:val="32"/>
          <w:highlight w:val="none"/>
        </w:rPr>
        <w:t>向乙方承担违约责任。</w:t>
      </w:r>
    </w:p>
    <w:p w14:paraId="432BFD3D">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10.甲方确认签署本合同前已履行完所有内部决策程序，且本合同的签署不会导致</w:t>
      </w:r>
      <w:r>
        <w:rPr>
          <w:rFonts w:hint="eastAsia" w:ascii="宋体" w:hAnsi="宋体" w:cs="宋体"/>
          <w:color w:val="auto"/>
          <w:sz w:val="32"/>
          <w:highlight w:val="none"/>
          <w:lang w:val="en-US" w:eastAsia="zh-CN"/>
        </w:rPr>
        <w:t>与</w:t>
      </w:r>
      <w:r>
        <w:rPr>
          <w:rFonts w:hint="eastAsia" w:ascii="宋体" w:hAnsi="宋体" w:cs="宋体"/>
          <w:color w:val="auto"/>
          <w:sz w:val="32"/>
          <w:highlight w:val="none"/>
        </w:rPr>
        <w:t>现存合同存在冲突引致违约的情况。</w:t>
      </w:r>
    </w:p>
    <w:p w14:paraId="0D73A303">
      <w:pPr>
        <w:pStyle w:val="25"/>
        <w:spacing w:line="560" w:lineRule="exact"/>
        <w:ind w:firstLine="480"/>
        <w:rPr>
          <w:rFonts w:hint="default" w:ascii="宋体" w:hAnsi="宋体" w:eastAsia="仿宋_GB2312" w:cs="宋体"/>
          <w:color w:val="auto"/>
          <w:sz w:val="32"/>
          <w:highlight w:val="none"/>
          <w:lang w:val="en-US" w:eastAsia="zh-CN"/>
        </w:rPr>
      </w:pPr>
      <w:r>
        <w:rPr>
          <w:rFonts w:hint="eastAsia" w:ascii="宋体" w:hAnsi="宋体" w:cs="宋体"/>
          <w:color w:val="auto"/>
          <w:sz w:val="32"/>
          <w:highlight w:val="none"/>
        </w:rPr>
        <w:t>11.</w:t>
      </w:r>
      <w:r>
        <w:rPr>
          <w:rFonts w:hint="eastAsia" w:ascii="宋体" w:hAnsi="宋体" w:cs="宋体"/>
          <w:color w:val="auto"/>
          <w:sz w:val="32"/>
          <w:highlight w:val="none"/>
          <w:lang w:val="en-US" w:eastAsia="zh-CN"/>
        </w:rPr>
        <w:t>拟交付委托运营</w:t>
      </w:r>
      <w:r>
        <w:rPr>
          <w:rFonts w:hint="eastAsia" w:ascii="宋体" w:hAnsi="宋体" w:cs="宋体"/>
          <w:color w:val="auto"/>
          <w:sz w:val="32"/>
          <w:highlight w:val="none"/>
        </w:rPr>
        <w:t>载体的装修改造所产生的费用由甲方承担</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并按照1000元/㎡的标准执行。</w:t>
      </w:r>
    </w:p>
    <w:p w14:paraId="77331503">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12.甲方应指定专门班组协助乙方</w:t>
      </w:r>
      <w:r>
        <w:rPr>
          <w:rFonts w:hint="eastAsia" w:ascii="宋体" w:hAnsi="宋体" w:cs="宋体"/>
          <w:color w:val="auto"/>
          <w:sz w:val="32"/>
          <w:highlight w:val="none"/>
          <w:lang w:val="en-US" w:eastAsia="zh-CN"/>
        </w:rPr>
        <w:t>为入驻企业租赁相关业务提供服务，积极协助入驻企业</w:t>
      </w:r>
      <w:r>
        <w:rPr>
          <w:rFonts w:hint="eastAsia" w:ascii="宋体" w:hAnsi="宋体" w:cs="宋体"/>
          <w:color w:val="auto"/>
          <w:sz w:val="32"/>
          <w:highlight w:val="none"/>
        </w:rPr>
        <w:t>对接地方政策。</w:t>
      </w:r>
    </w:p>
    <w:p w14:paraId="48406814">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13.若甲方非载体所有权人，则甲方应向乙方提供载体可使用授权资料，后续因</w:t>
      </w:r>
      <w:r>
        <w:rPr>
          <w:rFonts w:hint="eastAsia" w:ascii="宋体" w:hAnsi="宋体" w:cs="宋体"/>
          <w:color w:val="auto"/>
          <w:sz w:val="32"/>
          <w:highlight w:val="none"/>
          <w:lang w:val="en-US" w:eastAsia="zh-CN"/>
        </w:rPr>
        <w:t>甲方责任导致</w:t>
      </w:r>
      <w:r>
        <w:rPr>
          <w:rFonts w:hint="eastAsia" w:ascii="宋体" w:hAnsi="宋体" w:cs="宋体"/>
          <w:color w:val="auto"/>
          <w:sz w:val="32"/>
          <w:highlight w:val="none"/>
        </w:rPr>
        <w:t>载体产权方向乙方追究载体使用的</w:t>
      </w:r>
      <w:r>
        <w:rPr>
          <w:rFonts w:hint="eastAsia" w:ascii="宋体" w:hAnsi="宋体" w:cs="宋体"/>
          <w:color w:val="auto"/>
          <w:sz w:val="32"/>
          <w:highlight w:val="none"/>
          <w:lang w:val="en-US" w:eastAsia="zh-CN"/>
        </w:rPr>
        <w:t>相关</w:t>
      </w:r>
      <w:r>
        <w:rPr>
          <w:rFonts w:hint="eastAsia" w:ascii="宋体" w:hAnsi="宋体" w:cs="宋体"/>
          <w:color w:val="auto"/>
          <w:sz w:val="32"/>
          <w:highlight w:val="none"/>
        </w:rPr>
        <w:t>责任和后果由甲方承担</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因乙方及乙方招引入驻企业原因导致</w:t>
      </w:r>
      <w:r>
        <w:rPr>
          <w:rFonts w:hint="eastAsia" w:ascii="宋体" w:hAnsi="宋体" w:cs="宋体"/>
          <w:color w:val="auto"/>
          <w:sz w:val="32"/>
          <w:highlight w:val="none"/>
        </w:rPr>
        <w:t>载体产权方向乙方追究载体使用的</w:t>
      </w:r>
      <w:r>
        <w:rPr>
          <w:rFonts w:hint="eastAsia" w:ascii="宋体" w:hAnsi="宋体" w:cs="宋体"/>
          <w:color w:val="auto"/>
          <w:sz w:val="32"/>
          <w:highlight w:val="none"/>
          <w:lang w:val="en-US" w:eastAsia="zh-CN"/>
        </w:rPr>
        <w:t>相关</w:t>
      </w:r>
      <w:r>
        <w:rPr>
          <w:rFonts w:hint="eastAsia" w:ascii="宋体" w:hAnsi="宋体" w:cs="宋体"/>
          <w:color w:val="auto"/>
          <w:sz w:val="32"/>
          <w:highlight w:val="none"/>
        </w:rPr>
        <w:t>责任和后果由</w:t>
      </w:r>
      <w:r>
        <w:rPr>
          <w:rFonts w:hint="eastAsia" w:ascii="宋体" w:hAnsi="宋体" w:cs="宋体"/>
          <w:color w:val="auto"/>
          <w:sz w:val="32"/>
          <w:highlight w:val="none"/>
          <w:lang w:val="en-US" w:eastAsia="zh-CN"/>
        </w:rPr>
        <w:t>乙</w:t>
      </w:r>
      <w:r>
        <w:rPr>
          <w:rFonts w:hint="eastAsia" w:ascii="宋体" w:hAnsi="宋体" w:cs="宋体"/>
          <w:color w:val="auto"/>
          <w:sz w:val="32"/>
          <w:highlight w:val="none"/>
        </w:rPr>
        <w:t>方</w:t>
      </w:r>
      <w:r>
        <w:rPr>
          <w:rFonts w:hint="eastAsia" w:ascii="宋体" w:hAnsi="宋体" w:cs="宋体"/>
          <w:color w:val="auto"/>
          <w:sz w:val="32"/>
          <w:highlight w:val="none"/>
          <w:lang w:val="en-US" w:eastAsia="zh-CN"/>
        </w:rPr>
        <w:t>或乙方招引企业自行</w:t>
      </w:r>
      <w:r>
        <w:rPr>
          <w:rFonts w:hint="eastAsia" w:ascii="宋体" w:hAnsi="宋体" w:cs="宋体"/>
          <w:color w:val="auto"/>
          <w:sz w:val="32"/>
          <w:highlight w:val="none"/>
        </w:rPr>
        <w:t>承担。</w:t>
      </w:r>
    </w:p>
    <w:p w14:paraId="1A900A84">
      <w:pPr>
        <w:pStyle w:val="25"/>
        <w:spacing w:line="560" w:lineRule="exact"/>
        <w:ind w:firstLine="480"/>
        <w:rPr>
          <w:rFonts w:hint="default" w:ascii="宋体" w:hAnsi="宋体" w:cs="宋体"/>
          <w:color w:val="auto"/>
          <w:sz w:val="32"/>
          <w:highlight w:val="none"/>
        </w:rPr>
      </w:pPr>
      <w:r>
        <w:rPr>
          <w:rFonts w:hint="eastAsia" w:ascii="宋体" w:hAnsi="宋体" w:cs="宋体"/>
          <w:color w:val="auto"/>
          <w:sz w:val="32"/>
          <w:highlight w:val="none"/>
        </w:rPr>
        <w:t>14.合作期限内，为支持乙方更好地开展工作，甲方应在园区内为乙方提供独立的免费精装修办公室（免除物业水电租金且不低于【300】平方米，装修标准为1500元/㎡，具体位置以双方协商为准），【5】个江东发展大厦免费停车名额，【5】间听海阁人才公寓</w:t>
      </w:r>
      <w:r>
        <w:rPr>
          <w:rFonts w:hint="eastAsia" w:ascii="宋体" w:hAnsi="宋体" w:cs="宋体"/>
          <w:color w:val="auto"/>
          <w:sz w:val="32"/>
          <w:highlight w:val="none"/>
          <w:lang w:val="en-US" w:eastAsia="zh-CN"/>
        </w:rPr>
        <w:t>一房一厅户型</w:t>
      </w:r>
      <w:r>
        <w:rPr>
          <w:rFonts w:hint="eastAsia" w:ascii="宋体" w:hAnsi="宋体" w:cs="宋体"/>
          <w:color w:val="auto"/>
          <w:sz w:val="32"/>
          <w:highlight w:val="none"/>
        </w:rPr>
        <w:t>（免除物业租金）。</w:t>
      </w:r>
    </w:p>
    <w:p w14:paraId="68E4F1D4">
      <w:pPr>
        <w:pStyle w:val="25"/>
        <w:spacing w:line="560" w:lineRule="exact"/>
        <w:ind w:firstLine="480"/>
        <w:rPr>
          <w:rFonts w:hint="default" w:ascii="宋体" w:hAnsi="宋体" w:eastAsia="仿宋_GB2312" w:cs="宋体"/>
          <w:color w:val="auto"/>
          <w:sz w:val="32"/>
          <w:highlight w:val="none"/>
          <w:lang w:val="en-US" w:eastAsia="zh-CN"/>
        </w:rPr>
      </w:pPr>
      <w:r>
        <w:rPr>
          <w:rFonts w:hint="default" w:ascii="宋体" w:hAnsi="宋体" w:cs="宋体"/>
          <w:color w:val="auto"/>
          <w:sz w:val="32"/>
          <w:highlight w:val="none"/>
        </w:rPr>
        <w:t>15</w:t>
      </w:r>
      <w:r>
        <w:rPr>
          <w:rFonts w:hint="eastAsia" w:ascii="宋体" w:hAnsi="宋体" w:cs="宋体"/>
          <w:color w:val="auto"/>
          <w:sz w:val="32"/>
          <w:highlight w:val="none"/>
          <w:lang w:val="en-US" w:eastAsia="zh-Hans"/>
        </w:rPr>
        <w:t>.入驻企业直接与</w:t>
      </w:r>
      <w:r>
        <w:rPr>
          <w:rFonts w:hint="eastAsia" w:ascii="宋体" w:hAnsi="宋体" w:cs="宋体"/>
          <w:color w:val="auto"/>
          <w:sz w:val="32"/>
          <w:highlight w:val="none"/>
          <w:lang w:val="en-US" w:eastAsia="zh-CN"/>
        </w:rPr>
        <w:t>甲</w:t>
      </w:r>
      <w:r>
        <w:rPr>
          <w:rFonts w:hint="eastAsia" w:ascii="宋体" w:hAnsi="宋体" w:cs="宋体"/>
          <w:color w:val="auto"/>
          <w:sz w:val="32"/>
          <w:highlight w:val="none"/>
          <w:lang w:val="en-US" w:eastAsia="zh-Hans"/>
        </w:rPr>
        <w:t>方</w:t>
      </w:r>
      <w:r>
        <w:rPr>
          <w:rFonts w:hint="eastAsia" w:ascii="宋体" w:hAnsi="宋体" w:cs="宋体"/>
          <w:color w:val="auto"/>
          <w:sz w:val="32"/>
          <w:highlight w:val="none"/>
          <w:lang w:val="en-US" w:eastAsia="zh-CN"/>
        </w:rPr>
        <w:t>或其关联公司根据实际情况</w:t>
      </w:r>
      <w:r>
        <w:rPr>
          <w:rFonts w:hint="eastAsia" w:ascii="宋体" w:hAnsi="宋体" w:cs="宋体"/>
          <w:color w:val="auto"/>
          <w:sz w:val="32"/>
          <w:highlight w:val="none"/>
          <w:lang w:val="en-US" w:eastAsia="zh-Hans"/>
        </w:rPr>
        <w:t>签订</w:t>
      </w:r>
      <w:r>
        <w:rPr>
          <w:rFonts w:hint="eastAsia" w:ascii="宋体" w:hAnsi="宋体" w:cs="宋体"/>
          <w:color w:val="auto"/>
          <w:sz w:val="32"/>
          <w:highlight w:val="none"/>
          <w:lang w:val="en-US" w:eastAsia="zh-CN"/>
        </w:rPr>
        <w:t>租赁期限不低于5年的</w:t>
      </w:r>
      <w:r>
        <w:rPr>
          <w:rFonts w:hint="eastAsia" w:ascii="宋体" w:hAnsi="宋体" w:cs="宋体"/>
          <w:color w:val="auto"/>
          <w:sz w:val="32"/>
          <w:highlight w:val="none"/>
          <w:lang w:val="en-US" w:eastAsia="zh-Hans"/>
        </w:rPr>
        <w:t>入驻协议</w:t>
      </w:r>
      <w:r>
        <w:rPr>
          <w:rFonts w:hint="default" w:ascii="宋体" w:hAnsi="宋体" w:cs="宋体"/>
          <w:color w:val="auto"/>
          <w:sz w:val="32"/>
          <w:highlight w:val="none"/>
          <w:lang w:eastAsia="zh-Hans"/>
        </w:rPr>
        <w:t>。</w:t>
      </w:r>
      <w:r>
        <w:rPr>
          <w:rFonts w:hint="eastAsia" w:ascii="宋体" w:hAnsi="宋体" w:cs="宋体"/>
          <w:color w:val="auto"/>
          <w:sz w:val="32"/>
          <w:highlight w:val="none"/>
          <w:lang w:val="en-US" w:eastAsia="zh-CN"/>
        </w:rPr>
        <w:t>甲方给予前</w:t>
      </w:r>
      <w:r>
        <w:rPr>
          <w:rFonts w:hint="eastAsia" w:ascii="宋体" w:hAnsi="宋体" w:cs="宋体"/>
          <w:color w:val="auto"/>
          <w:sz w:val="32"/>
          <w:szCs w:val="32"/>
          <w:highlight w:val="none"/>
          <w:lang w:val="en-US" w:eastAsia="zh-CN"/>
        </w:rPr>
        <w:t>两</w:t>
      </w:r>
      <w:r>
        <w:rPr>
          <w:rFonts w:hint="eastAsia" w:ascii="宋体" w:hAnsi="宋体" w:cs="宋体"/>
          <w:color w:val="auto"/>
          <w:sz w:val="32"/>
          <w:highlight w:val="none"/>
          <w:lang w:val="en-US" w:eastAsia="zh-CN"/>
        </w:rPr>
        <w:t>年入驻的企业二免一减半（即租赁期前两年租金减免，第三年租金减半）的优惠政策，二免一减半优惠期结束后租赁价格不低于60元/㎡·月。经甲乙双方协商一致，可签订低于5年的入驻协议，且均计入考核有效成果。</w:t>
      </w:r>
    </w:p>
    <w:p w14:paraId="24F39759">
      <w:pPr>
        <w:pStyle w:val="25"/>
        <w:spacing w:line="560" w:lineRule="exact"/>
        <w:ind w:firstLine="480"/>
        <w:rPr>
          <w:rFonts w:hint="default" w:ascii="宋体" w:hAnsi="宋体" w:cs="宋体"/>
          <w:color w:val="auto"/>
          <w:sz w:val="32"/>
          <w:highlight w:val="none"/>
          <w:lang w:eastAsia="zh-Hans"/>
        </w:rPr>
      </w:pPr>
      <w:r>
        <w:rPr>
          <w:rFonts w:hint="default" w:ascii="宋体" w:hAnsi="宋体" w:cs="宋体"/>
          <w:color w:val="auto"/>
          <w:sz w:val="32"/>
          <w:highlight w:val="none"/>
          <w:lang w:eastAsia="zh-Hans"/>
        </w:rPr>
        <w:t>16</w:t>
      </w:r>
      <w:r>
        <w:rPr>
          <w:rFonts w:hint="eastAsia" w:ascii="宋体" w:hAnsi="宋体" w:cs="宋体"/>
          <w:color w:val="auto"/>
          <w:sz w:val="32"/>
          <w:highlight w:val="none"/>
          <w:lang w:val="en-US" w:eastAsia="zh-Hans"/>
        </w:rPr>
        <w:t>.甲方对乙方和乙方入驻企业提供公共服务平台的支持</w:t>
      </w:r>
      <w:r>
        <w:rPr>
          <w:rFonts w:hint="default" w:ascii="宋体" w:hAnsi="宋体" w:cs="宋体"/>
          <w:color w:val="auto"/>
          <w:sz w:val="32"/>
          <w:highlight w:val="none"/>
          <w:lang w:eastAsia="zh-Hans"/>
        </w:rPr>
        <w:t>，</w:t>
      </w:r>
      <w:r>
        <w:rPr>
          <w:rFonts w:hint="eastAsia" w:ascii="宋体" w:hAnsi="宋体" w:cs="宋体"/>
          <w:color w:val="auto"/>
          <w:sz w:val="32"/>
          <w:highlight w:val="none"/>
          <w:lang w:val="en-US" w:eastAsia="zh-Hans"/>
        </w:rPr>
        <w:t>将江东</w:t>
      </w:r>
      <w:r>
        <w:rPr>
          <w:rFonts w:hint="eastAsia" w:ascii="宋体" w:hAnsi="宋体" w:cs="宋体"/>
          <w:color w:val="auto"/>
          <w:sz w:val="32"/>
          <w:highlight w:val="none"/>
          <w:lang w:val="en-US" w:eastAsia="zh-CN"/>
        </w:rPr>
        <w:t>发展</w:t>
      </w:r>
      <w:r>
        <w:rPr>
          <w:rFonts w:hint="eastAsia" w:ascii="宋体" w:hAnsi="宋体" w:cs="宋体"/>
          <w:color w:val="auto"/>
          <w:sz w:val="32"/>
          <w:highlight w:val="none"/>
          <w:lang w:val="en-US" w:eastAsia="zh-Hans"/>
        </w:rPr>
        <w:t>大厦的路演厅和大会议室提供使用</w:t>
      </w:r>
      <w:r>
        <w:rPr>
          <w:rFonts w:hint="eastAsia" w:ascii="宋体" w:hAnsi="宋体" w:cs="宋体"/>
          <w:color w:val="auto"/>
          <w:sz w:val="32"/>
          <w:highlight w:val="none"/>
          <w:lang w:val="en-US" w:eastAsia="zh-CN"/>
        </w:rPr>
        <w:t>，相关使用成本由乙方或乙方入驻企业承担</w:t>
      </w:r>
      <w:r>
        <w:rPr>
          <w:rFonts w:hint="default" w:ascii="宋体" w:hAnsi="宋体" w:cs="宋体"/>
          <w:color w:val="auto"/>
          <w:sz w:val="32"/>
          <w:highlight w:val="none"/>
          <w:lang w:eastAsia="zh-Hans"/>
        </w:rPr>
        <w:t>。</w:t>
      </w:r>
    </w:p>
    <w:p w14:paraId="65BDFFD0">
      <w:pPr>
        <w:pStyle w:val="25"/>
        <w:numPr>
          <w:ilvl w:val="0"/>
          <w:numId w:val="3"/>
        </w:numPr>
        <w:spacing w:line="560" w:lineRule="exact"/>
        <w:ind w:firstLine="480"/>
        <w:rPr>
          <w:rFonts w:hint="eastAsia" w:ascii="宋体" w:hAnsi="宋体" w:cs="宋体"/>
          <w:color w:val="auto"/>
          <w:sz w:val="32"/>
          <w:szCs w:val="32"/>
          <w:highlight w:val="none"/>
          <w:lang w:val="en-US" w:eastAsia="zh-CN"/>
        </w:rPr>
      </w:pPr>
      <w:r>
        <w:rPr>
          <w:rFonts w:hint="eastAsia" w:ascii="宋体" w:hAnsi="宋体" w:cs="宋体"/>
          <w:color w:val="auto"/>
          <w:sz w:val="32"/>
          <w:highlight w:val="none"/>
          <w:lang w:val="en-US" w:eastAsia="zh-CN"/>
        </w:rPr>
        <w:t>在一个完整的运营年度内，乙方未完成当年累计去化考核指标的70%，甲方有权自主对外租赁合作载体内未出租部分。</w:t>
      </w:r>
    </w:p>
    <w:p w14:paraId="2F65F1C7">
      <w:pPr>
        <w:pStyle w:val="25"/>
        <w:spacing w:line="560" w:lineRule="exact"/>
        <w:ind w:firstLine="480"/>
        <w:rPr>
          <w:rFonts w:hint="eastAsia" w:ascii="楷体_GB2312" w:hAnsi="楷体_GB2312" w:eastAsia="楷体_GB2312" w:cs="楷体_GB2312"/>
          <w:b/>
          <w:bCs/>
          <w:color w:val="auto"/>
          <w:sz w:val="32"/>
          <w:highlight w:val="none"/>
        </w:rPr>
      </w:pPr>
      <w:r>
        <w:rPr>
          <w:rFonts w:hint="eastAsia" w:ascii="楷体_GB2312" w:hAnsi="楷体_GB2312" w:eastAsia="楷体_GB2312" w:cs="楷体_GB2312"/>
          <w:b/>
          <w:bCs/>
          <w:color w:val="auto"/>
          <w:sz w:val="32"/>
          <w:highlight w:val="none"/>
        </w:rPr>
        <w:t>（二）乙方权利及义务</w:t>
      </w:r>
    </w:p>
    <w:p w14:paraId="303AC61B">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1.依法依规享受国家、海南省、海口市及江东新区等各级各类企业扶持政策。</w:t>
      </w:r>
    </w:p>
    <w:p w14:paraId="7D21DC79">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2.乙方应积极为业务落地提供必要的人才、技术、资金、业务等支持，按期推动项目的开发建设和运营。</w:t>
      </w:r>
    </w:p>
    <w:p w14:paraId="01BC3D7C">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3.乙方应按本合同约定履行运营义务及服务，并按经营需要派驻充足的团队至甲方委托运营载体所在地开展工作，实现甲方的委托目标。乙方派驻团队的成员不能胜任工作要求时，甲方有权要求乙方</w:t>
      </w:r>
      <w:r>
        <w:rPr>
          <w:rFonts w:hint="eastAsia" w:ascii="宋体" w:hAnsi="宋体" w:cs="宋体"/>
          <w:color w:val="auto"/>
          <w:sz w:val="32"/>
          <w:highlight w:val="none"/>
          <w:lang w:val="en-US" w:eastAsia="zh-CN"/>
        </w:rPr>
        <w:t>限期</w:t>
      </w:r>
      <w:r>
        <w:rPr>
          <w:rFonts w:hint="eastAsia" w:ascii="宋体" w:hAnsi="宋体" w:cs="宋体"/>
          <w:color w:val="auto"/>
          <w:sz w:val="32"/>
          <w:highlight w:val="none"/>
        </w:rPr>
        <w:t>予以更换。</w:t>
      </w:r>
    </w:p>
    <w:p w14:paraId="177A0A06">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4.乙方应积极履行本协议第一条</w:t>
      </w:r>
      <w:r>
        <w:rPr>
          <w:rFonts w:hint="eastAsia" w:ascii="宋体" w:hAnsi="宋体" w:cs="宋体"/>
          <w:color w:val="auto"/>
          <w:sz w:val="32"/>
          <w:highlight w:val="none"/>
          <w:lang w:val="en-US" w:eastAsia="zh-CN"/>
        </w:rPr>
        <w:t>第（四）款</w:t>
      </w:r>
      <w:r>
        <w:rPr>
          <w:rFonts w:hint="eastAsia" w:ascii="宋体" w:hAnsi="宋体" w:cs="宋体"/>
          <w:color w:val="auto"/>
          <w:sz w:val="32"/>
          <w:highlight w:val="none"/>
        </w:rPr>
        <w:t>承诺的合作目标</w:t>
      </w:r>
      <w:r>
        <w:rPr>
          <w:rFonts w:hint="eastAsia" w:ascii="宋体" w:hAnsi="宋体" w:cs="宋体"/>
          <w:color w:val="auto"/>
          <w:sz w:val="32"/>
          <w:highlight w:val="none"/>
          <w:lang w:val="en-US" w:eastAsia="zh-CN"/>
        </w:rPr>
        <w:t>及约定运营指标</w:t>
      </w:r>
      <w:r>
        <w:rPr>
          <w:rFonts w:hint="eastAsia" w:ascii="宋体" w:hAnsi="宋体" w:cs="宋体"/>
          <w:color w:val="auto"/>
          <w:sz w:val="32"/>
          <w:highlight w:val="none"/>
        </w:rPr>
        <w:t>。</w:t>
      </w:r>
    </w:p>
    <w:p w14:paraId="528DD3F2">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5.如因政策变化、甲方需求变化</w:t>
      </w:r>
      <w:r>
        <w:rPr>
          <w:rFonts w:hint="eastAsia" w:ascii="宋体" w:hAnsi="宋体" w:cs="宋体"/>
          <w:color w:val="auto"/>
          <w:sz w:val="32"/>
          <w:highlight w:val="none"/>
          <w:lang w:val="en-US" w:eastAsia="zh-CN"/>
        </w:rPr>
        <w:t>的</w:t>
      </w:r>
      <w:r>
        <w:rPr>
          <w:rFonts w:hint="eastAsia" w:ascii="宋体" w:hAnsi="宋体" w:cs="宋体"/>
          <w:color w:val="auto"/>
          <w:sz w:val="32"/>
          <w:highlight w:val="none"/>
        </w:rPr>
        <w:t>原因以及海南省、海口市及江东新区等各级各类企业扶持政策变化而导致乙方在合作期间无法完全履行本协议第一条</w:t>
      </w:r>
      <w:r>
        <w:rPr>
          <w:rFonts w:hint="eastAsia" w:ascii="宋体" w:hAnsi="宋体" w:cs="宋体"/>
          <w:color w:val="auto"/>
          <w:sz w:val="32"/>
          <w:highlight w:val="none"/>
          <w:lang w:val="en-US" w:eastAsia="zh-CN"/>
        </w:rPr>
        <w:t>第（四）款</w:t>
      </w:r>
      <w:r>
        <w:rPr>
          <w:rFonts w:hint="eastAsia" w:ascii="宋体" w:hAnsi="宋体" w:cs="宋体"/>
          <w:color w:val="auto"/>
          <w:sz w:val="32"/>
          <w:highlight w:val="none"/>
        </w:rPr>
        <w:t>承诺的合作目标</w:t>
      </w:r>
      <w:r>
        <w:rPr>
          <w:rFonts w:hint="eastAsia" w:ascii="宋体" w:hAnsi="宋体" w:cs="宋体"/>
          <w:color w:val="auto"/>
          <w:sz w:val="32"/>
          <w:highlight w:val="none"/>
          <w:lang w:val="en-US" w:eastAsia="zh-CN"/>
        </w:rPr>
        <w:t>及约定运营指标</w:t>
      </w:r>
      <w:r>
        <w:rPr>
          <w:rFonts w:hint="eastAsia" w:ascii="宋体" w:hAnsi="宋体" w:cs="宋体"/>
          <w:color w:val="auto"/>
          <w:sz w:val="32"/>
          <w:highlight w:val="none"/>
        </w:rPr>
        <w:t>的，双方可根据实际情况另行协商。如无法协商一致的，乙方有权解除本合同且不承担违约责任，同时</w:t>
      </w:r>
      <w:r>
        <w:rPr>
          <w:rFonts w:hint="eastAsia" w:ascii="宋体" w:hAnsi="宋体" w:cs="宋体"/>
          <w:color w:val="auto"/>
          <w:sz w:val="32"/>
          <w:highlight w:val="none"/>
          <w:lang w:val="en-US" w:eastAsia="zh-CN"/>
        </w:rPr>
        <w:t>应</w:t>
      </w:r>
      <w:r>
        <w:rPr>
          <w:rFonts w:hint="eastAsia" w:ascii="宋体" w:hAnsi="宋体" w:cs="宋体"/>
          <w:color w:val="auto"/>
          <w:sz w:val="32"/>
          <w:highlight w:val="none"/>
          <w:lang w:val="en-US" w:eastAsia="zh-CN"/>
        </w:rPr>
        <w:t>根据本协议第二条第（一）款第2点支付时间和考核相关要求执行解约后续费用支付问题</w:t>
      </w:r>
      <w:r>
        <w:rPr>
          <w:rFonts w:hint="eastAsia" w:ascii="宋体" w:hAnsi="宋体" w:cs="宋体"/>
          <w:color w:val="auto"/>
          <w:sz w:val="32"/>
          <w:highlight w:val="none"/>
        </w:rPr>
        <w:t>。</w:t>
      </w:r>
    </w:p>
    <w:p w14:paraId="7C3607CD">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6.乙方应如实向甲方提交申请支持政策所需的证明文件；如实向甲方提供运营核心数据等相关证明文件。乙方须做好企业有关登记、数据统计、企业服务等工作，定期向甲方进行工作汇报。对甲方提出的运营服务要求和甲方所需的运营数据收集，乙方应及时落实；在运营工作中，甲方需要了解项目的相关情况时，乙方应积极配合。</w:t>
      </w:r>
    </w:p>
    <w:p w14:paraId="740EC383">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7.乙方应当合法生产经营，企业建设和生产须符合国家产业政策，确保数据安全合规。</w:t>
      </w:r>
    </w:p>
    <w:p w14:paraId="2977F276">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8.法律、法规规定和本协议约定的其他权利和义务。</w:t>
      </w:r>
    </w:p>
    <w:p w14:paraId="576E468A">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9.未经甲方书面同意，乙方不得擅自改变房屋结构及用途。</w:t>
      </w:r>
    </w:p>
    <w:p w14:paraId="39C352CF">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10.乙方有权向入驻企业提供投资孵化、综合管理等服务，并收取费用</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收费标准须提交甲方备案</w:t>
      </w:r>
      <w:r>
        <w:rPr>
          <w:rFonts w:hint="eastAsia" w:ascii="宋体" w:hAnsi="宋体" w:cs="宋体"/>
          <w:color w:val="auto"/>
          <w:sz w:val="32"/>
          <w:highlight w:val="none"/>
        </w:rPr>
        <w:t>。</w:t>
      </w:r>
    </w:p>
    <w:p w14:paraId="6FBC7428">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11.乙方对在运营服务活动中获悉的甲方的包括但不限于商业秘密、信息资料等承担保密义务，未经甲方书面同意不得向任何第三方透露，该保密义务不因本合同的解除、终止而免除。</w:t>
      </w:r>
    </w:p>
    <w:p w14:paraId="72405354">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12.乙方运营团队所产生的所有费用包括但不限于人工成本、差旅费、业务招待费、营销费、办公费、通讯费及其他招商运营开支由乙方自行承担。</w:t>
      </w:r>
    </w:p>
    <w:p w14:paraId="41B77D71">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13.本合同签订前后（包括交付之前的装修阶段等），由乙方完成的前置招商成果均计入考核成绩。经甲方授权或者要求，乙方引进至甲方江东新区范围内</w:t>
      </w:r>
      <w:r>
        <w:rPr>
          <w:rFonts w:hint="eastAsia" w:ascii="宋体" w:hAnsi="宋体" w:cs="宋体"/>
          <w:color w:val="auto"/>
          <w:sz w:val="32"/>
          <w:highlight w:val="none"/>
          <w:lang w:val="en-US" w:eastAsia="zh-CN"/>
        </w:rPr>
        <w:t>载体</w:t>
      </w:r>
      <w:r>
        <w:rPr>
          <w:rFonts w:hint="eastAsia" w:ascii="宋体" w:hAnsi="宋体" w:cs="宋体"/>
          <w:color w:val="auto"/>
          <w:sz w:val="32"/>
          <w:highlight w:val="none"/>
        </w:rPr>
        <w:t>的企业以及企业所完成的成果，</w:t>
      </w:r>
      <w:r>
        <w:rPr>
          <w:rFonts w:hint="eastAsia" w:ascii="宋体" w:hAnsi="宋体" w:cs="宋体"/>
          <w:color w:val="auto"/>
          <w:sz w:val="32"/>
          <w:highlight w:val="none"/>
          <w:lang w:val="en-US" w:eastAsia="zh-CN"/>
        </w:rPr>
        <w:t>可</w:t>
      </w:r>
      <w:r>
        <w:rPr>
          <w:rFonts w:hint="eastAsia" w:ascii="宋体" w:hAnsi="宋体" w:cs="宋体"/>
          <w:color w:val="auto"/>
          <w:sz w:val="32"/>
          <w:highlight w:val="none"/>
        </w:rPr>
        <w:t>计入</w:t>
      </w:r>
      <w:r>
        <w:rPr>
          <w:rFonts w:hint="eastAsia" w:ascii="宋体" w:hAnsi="宋体" w:cs="宋体"/>
          <w:color w:val="auto"/>
          <w:sz w:val="32"/>
          <w:highlight w:val="none"/>
          <w:lang w:val="en-US" w:eastAsia="zh-CN"/>
        </w:rPr>
        <w:t>乙</w:t>
      </w:r>
      <w:r>
        <w:rPr>
          <w:rFonts w:hint="eastAsia" w:ascii="宋体" w:hAnsi="宋体" w:cs="宋体"/>
          <w:color w:val="auto"/>
          <w:sz w:val="32"/>
          <w:highlight w:val="none"/>
        </w:rPr>
        <w:t>方的考核成果中。</w:t>
      </w:r>
    </w:p>
    <w:p w14:paraId="4DEB1364">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14.甲方已经交付的载体需要进一步装修、改造、隔断的，乙方不承担相关费用，由甲方或入驻企业承担。</w:t>
      </w:r>
    </w:p>
    <w:p w14:paraId="57D13F00">
      <w:pPr>
        <w:pStyle w:val="25"/>
        <w:spacing w:line="560" w:lineRule="exact"/>
        <w:ind w:firstLine="480"/>
        <w:rPr>
          <w:rFonts w:hint="eastAsia" w:ascii="宋体" w:hAnsi="宋体" w:cs="宋体"/>
          <w:color w:val="auto"/>
          <w:sz w:val="32"/>
          <w:highlight w:val="none"/>
          <w:lang w:val="en-US" w:eastAsia="zh-CN"/>
        </w:rPr>
      </w:pPr>
      <w:r>
        <w:rPr>
          <w:rFonts w:hint="eastAsia" w:ascii="宋体" w:hAnsi="宋体" w:cs="宋体"/>
          <w:color w:val="auto"/>
          <w:sz w:val="32"/>
          <w:highlight w:val="none"/>
          <w:lang w:val="en-US" w:eastAsia="zh-CN"/>
        </w:rPr>
        <w:t>15.乙方作为园区的运营管理方，仅为甲方提供运营管理服务，并非本协议项下房屋及相关设施的实际使用人或占用人。因此，除本协议另有明确约定外，与房屋租赁、使用及占有相关的全部费用（包括但不限于房屋租金、物业管理费、水电费、燃气费等所有因房屋使用而产生的税费及附加费用）均不由乙方承担，乙方对此不承担任何支付或连带责任。</w:t>
      </w:r>
    </w:p>
    <w:p w14:paraId="6138F692">
      <w:pPr>
        <w:pStyle w:val="25"/>
        <w:spacing w:line="560" w:lineRule="exact"/>
        <w:ind w:firstLine="480"/>
        <w:rPr>
          <w:rFonts w:hint="eastAsia" w:ascii="宋体" w:hAnsi="宋体" w:cs="宋体"/>
          <w:color w:val="auto"/>
          <w:sz w:val="32"/>
          <w:highlight w:val="none"/>
          <w:lang w:val="en-US" w:eastAsia="zh-CN"/>
        </w:rPr>
      </w:pPr>
      <w:r>
        <w:rPr>
          <w:rFonts w:hint="eastAsia" w:ascii="宋体" w:hAnsi="宋体" w:cs="宋体"/>
          <w:color w:val="auto"/>
          <w:sz w:val="32"/>
          <w:highlight w:val="none"/>
          <w:lang w:val="en-US" w:eastAsia="zh-CN"/>
        </w:rPr>
        <w:t>16. 因乙方或乙方提交虚假资料、文件的原因导致给予的支持被取消或收回，乙方需返还相应款项，因此造成甲方向政府或第三方承担违约责任或造成甲方其他损失的，乙方需向甲方进行相应赔偿。</w:t>
      </w:r>
    </w:p>
    <w:p w14:paraId="09DB6AA2">
      <w:pPr>
        <w:pStyle w:val="25"/>
        <w:spacing w:line="560" w:lineRule="exact"/>
        <w:ind w:firstLine="480"/>
        <w:rPr>
          <w:rFonts w:hint="default" w:ascii="宋体" w:hAnsi="宋体" w:cs="宋体"/>
          <w:color w:val="auto"/>
          <w:sz w:val="32"/>
          <w:highlight w:val="none"/>
          <w:lang w:val="en-US" w:eastAsia="zh-CN"/>
        </w:rPr>
      </w:pPr>
      <w:r>
        <w:rPr>
          <w:rFonts w:hint="eastAsia" w:ascii="宋体" w:hAnsi="宋体" w:cs="宋体"/>
          <w:color w:val="auto"/>
          <w:sz w:val="32"/>
          <w:highlight w:val="none"/>
          <w:lang w:val="en-US" w:eastAsia="zh-CN"/>
        </w:rPr>
        <w:t>17.乙方应积极协助甲方共同推进管理局的费用支付工作。</w:t>
      </w:r>
    </w:p>
    <w:p w14:paraId="561FF62E">
      <w:pPr>
        <w:adjustRightInd w:val="0"/>
        <w:spacing w:line="560" w:lineRule="exact"/>
        <w:ind w:firstLine="640" w:firstLineChars="200"/>
        <w:rPr>
          <w:rFonts w:hint="eastAsia" w:ascii="黑体" w:hAnsi="黑体" w:eastAsia="黑体" w:cs="黑体"/>
          <w:color w:val="auto"/>
          <w:highlight w:val="none"/>
        </w:rPr>
      </w:pPr>
      <w:r>
        <w:rPr>
          <w:rFonts w:hint="eastAsia" w:ascii="黑体" w:hAnsi="黑体" w:eastAsia="黑体" w:cs="黑体"/>
          <w:color w:val="auto"/>
          <w:highlight w:val="none"/>
        </w:rPr>
        <w:t>四、违约责任</w:t>
      </w:r>
    </w:p>
    <w:p w14:paraId="7B121387">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1</w:t>
      </w:r>
      <w:r>
        <w:rPr>
          <w:rFonts w:hint="eastAsia" w:ascii="宋体" w:hAnsi="宋体" w:cs="宋体"/>
          <w:color w:val="auto"/>
          <w:sz w:val="32"/>
          <w:highlight w:val="none"/>
        </w:rPr>
        <w:t>.因不可抗力造成任何一方不能履行本协议，可终止履行，双方都不承担责任。但双方应积极在条件允许的情况下采取必要的补救措施，以减少造成的损失。合同履行过程中出台新的法律、行政法规、政府规章、规范性文件及政策变化，造成本协议部分内容不能履行的，视为不可抗力原因造成的不能履行。</w:t>
      </w:r>
    </w:p>
    <w:p w14:paraId="0088E7BA">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2</w:t>
      </w:r>
      <w:r>
        <w:rPr>
          <w:rFonts w:hint="eastAsia" w:ascii="宋体" w:hAnsi="宋体" w:cs="宋体"/>
          <w:color w:val="auto"/>
          <w:sz w:val="32"/>
          <w:highlight w:val="none"/>
        </w:rPr>
        <w:t>.乙方在合同期限内应按照甲方要求完成服务工作，并按本合同约定的考核办法接受考核及相关处置。</w:t>
      </w:r>
    </w:p>
    <w:p w14:paraId="0E32E2E0">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3</w:t>
      </w:r>
      <w:r>
        <w:rPr>
          <w:rFonts w:hint="eastAsia" w:ascii="宋体" w:hAnsi="宋体" w:cs="宋体"/>
          <w:color w:val="auto"/>
          <w:sz w:val="32"/>
          <w:highlight w:val="none"/>
        </w:rPr>
        <w:t>.本合同生效后，除本合同另有约定外，任何一方在合同期限内单方面要求提前终止或解除合同的行为视为违约，守约方有权向违约方收取违约金，违约金为考核分值20分对应的金额。违约金不足以弥补守约方损失的，守约方有权向违约方另行追偿。</w:t>
      </w:r>
    </w:p>
    <w:p w14:paraId="7F0069C8">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4</w:t>
      </w:r>
      <w:r>
        <w:rPr>
          <w:rFonts w:hint="eastAsia" w:ascii="宋体" w:hAnsi="宋体" w:cs="宋体"/>
          <w:color w:val="auto"/>
          <w:sz w:val="32"/>
          <w:highlight w:val="none"/>
        </w:rPr>
        <w:t>.本合同签订生效后，乙方原则应组织团队开展相应的招商运营工作，即视为相关费用已经开始发生，甲方应按本合同约定的时间和约定的标准向乙方交付本合同约定载体</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如若发生延期交付，甲方应提前15个工作日书面通知乙方</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因乙方按照预期交付时间推进企业入驻等工作，已经投入团队开展运营工作，发生相关成本，延期交付还可能造成乙方和企业的违约。</w:t>
      </w:r>
      <w:r>
        <w:rPr>
          <w:rFonts w:hint="eastAsia" w:ascii="宋体" w:hAnsi="宋体" w:cs="宋体"/>
          <w:color w:val="auto"/>
          <w:sz w:val="32"/>
          <w:highlight w:val="none"/>
        </w:rPr>
        <w:t>如甲方每延期一个月乙方考核分数增加</w:t>
      </w:r>
      <w:r>
        <w:rPr>
          <w:rFonts w:hint="eastAsia" w:ascii="宋体" w:hAnsi="宋体" w:cs="宋体"/>
          <w:color w:val="auto"/>
          <w:sz w:val="32"/>
          <w:highlight w:val="none"/>
          <w:lang w:val="en-US" w:eastAsia="zh-CN"/>
        </w:rPr>
        <w:t>3</w:t>
      </w:r>
      <w:r>
        <w:rPr>
          <w:rFonts w:hint="eastAsia" w:ascii="宋体" w:hAnsi="宋体" w:cs="宋体"/>
          <w:color w:val="auto"/>
          <w:sz w:val="32"/>
          <w:highlight w:val="none"/>
        </w:rPr>
        <w:t>分</w:t>
      </w:r>
      <w:r>
        <w:rPr>
          <w:rFonts w:hint="eastAsia" w:ascii="宋体" w:hAnsi="宋体" w:cs="宋体"/>
          <w:color w:val="auto"/>
          <w:sz w:val="32"/>
          <w:highlight w:val="none"/>
          <w:lang w:eastAsia="zh-CN"/>
        </w:rPr>
        <w:t>，</w:t>
      </w:r>
      <w:r>
        <w:rPr>
          <w:rFonts w:hint="eastAsia" w:ascii="宋体" w:hAnsi="宋体" w:cs="宋体"/>
          <w:color w:val="auto"/>
          <w:sz w:val="32"/>
          <w:highlight w:val="none"/>
        </w:rPr>
        <w:t>甲方逾期三个月仍未交付载体的，乙方有权解除本合同且不承担任何赔偿责任，乙方有权扣除全部预付费。</w:t>
      </w:r>
    </w:p>
    <w:p w14:paraId="79458CCA">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lang w:val="en-US" w:eastAsia="zh-CN"/>
        </w:rPr>
        <w:t>5</w:t>
      </w:r>
      <w:r>
        <w:rPr>
          <w:rFonts w:hint="eastAsia" w:ascii="宋体" w:hAnsi="宋体" w:cs="宋体"/>
          <w:color w:val="auto"/>
          <w:sz w:val="32"/>
          <w:highlight w:val="none"/>
        </w:rPr>
        <w:t>.如甲方逾期付款：（1）甲方每逾期</w:t>
      </w:r>
      <w:r>
        <w:rPr>
          <w:rFonts w:hint="eastAsia" w:ascii="宋体" w:hAnsi="宋体" w:cs="宋体"/>
          <w:color w:val="auto"/>
          <w:sz w:val="32"/>
          <w:highlight w:val="none"/>
          <w:lang w:val="en-US" w:eastAsia="zh-CN"/>
        </w:rPr>
        <w:t>一个月</w:t>
      </w:r>
      <w:r>
        <w:rPr>
          <w:rFonts w:hint="eastAsia" w:ascii="宋体" w:hAnsi="宋体" w:cs="宋体"/>
          <w:color w:val="auto"/>
          <w:sz w:val="32"/>
          <w:highlight w:val="none"/>
        </w:rPr>
        <w:t>支付款项，乙方考核分数增加1分，逾期</w:t>
      </w:r>
      <w:r>
        <w:rPr>
          <w:rFonts w:hint="eastAsia" w:ascii="宋体" w:hAnsi="宋体" w:cs="宋体"/>
          <w:color w:val="auto"/>
          <w:sz w:val="32"/>
          <w:highlight w:val="none"/>
          <w:lang w:val="en-US" w:eastAsia="zh-CN"/>
        </w:rPr>
        <w:t>两个月</w:t>
      </w:r>
      <w:r>
        <w:rPr>
          <w:rFonts w:hint="eastAsia" w:ascii="宋体" w:hAnsi="宋体" w:cs="宋体"/>
          <w:color w:val="auto"/>
          <w:sz w:val="32"/>
          <w:highlight w:val="none"/>
        </w:rPr>
        <w:t>增加2分，</w:t>
      </w:r>
      <w:r>
        <w:rPr>
          <w:rFonts w:hint="eastAsia" w:ascii="宋体" w:hAnsi="宋体" w:cs="宋体"/>
          <w:color w:val="auto"/>
          <w:sz w:val="32"/>
          <w:highlight w:val="none"/>
          <w:lang w:val="en-US" w:eastAsia="zh-CN"/>
        </w:rPr>
        <w:t>依</w:t>
      </w:r>
      <w:r>
        <w:rPr>
          <w:rFonts w:hint="eastAsia" w:ascii="宋体" w:hAnsi="宋体" w:cs="宋体"/>
          <w:color w:val="auto"/>
          <w:sz w:val="32"/>
          <w:highlight w:val="none"/>
        </w:rPr>
        <w:t>此类推</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每个运营年度结束后两个月内甲方未完成付款的，也按上述执行</w:t>
      </w:r>
      <w:r>
        <w:rPr>
          <w:rFonts w:hint="eastAsia" w:ascii="宋体" w:hAnsi="宋体" w:cs="宋体"/>
          <w:color w:val="auto"/>
          <w:sz w:val="32"/>
          <w:highlight w:val="none"/>
        </w:rPr>
        <w:t>；（2）自甲方逾期支付款项之日起，按照应付款项的</w:t>
      </w:r>
      <w:r>
        <w:rPr>
          <w:rFonts w:hint="eastAsia" w:ascii="宋体" w:hAnsi="宋体" w:cs="宋体"/>
          <w:color w:val="auto"/>
          <w:sz w:val="32"/>
          <w:highlight w:val="none"/>
          <w:lang w:val="en-US" w:eastAsia="zh-CN"/>
        </w:rPr>
        <w:t>万分之五每</w:t>
      </w:r>
      <w:r>
        <w:rPr>
          <w:rFonts w:hint="eastAsia" w:ascii="宋体" w:hAnsi="宋体" w:cs="宋体"/>
          <w:color w:val="auto"/>
          <w:sz w:val="32"/>
          <w:highlight w:val="none"/>
        </w:rPr>
        <w:t>日向乙方支付违约金。乙方可选择</w:t>
      </w:r>
      <w:r>
        <w:rPr>
          <w:rFonts w:hint="eastAsia" w:ascii="宋体" w:hAnsi="宋体" w:cs="宋体"/>
          <w:color w:val="auto"/>
          <w:sz w:val="32"/>
          <w:highlight w:val="none"/>
          <w:lang w:val="en-US" w:eastAsia="zh-CN"/>
        </w:rPr>
        <w:t>前述（1）或（2）</w:t>
      </w:r>
      <w:r>
        <w:rPr>
          <w:rFonts w:hint="eastAsia" w:ascii="宋体" w:hAnsi="宋体" w:cs="宋体"/>
          <w:color w:val="auto"/>
          <w:sz w:val="32"/>
          <w:highlight w:val="none"/>
        </w:rPr>
        <w:t>其中一项追究甲方违约责任。如甲方</w:t>
      </w:r>
      <w:r>
        <w:rPr>
          <w:rFonts w:hint="eastAsia" w:ascii="宋体" w:hAnsi="宋体" w:cs="宋体"/>
          <w:color w:val="auto"/>
          <w:sz w:val="32"/>
          <w:highlight w:val="none"/>
          <w:lang w:val="en-US" w:eastAsia="zh-CN"/>
        </w:rPr>
        <w:t>逾期三个月</w:t>
      </w:r>
      <w:r>
        <w:rPr>
          <w:rFonts w:hint="eastAsia" w:ascii="宋体" w:hAnsi="宋体" w:cs="宋体"/>
          <w:color w:val="auto"/>
          <w:sz w:val="32"/>
          <w:highlight w:val="none"/>
        </w:rPr>
        <w:t>仍未支付款项</w:t>
      </w:r>
      <w:r>
        <w:rPr>
          <w:rFonts w:hint="eastAsia" w:ascii="宋体" w:hAnsi="宋体" w:cs="宋体"/>
          <w:color w:val="auto"/>
          <w:sz w:val="32"/>
          <w:highlight w:val="none"/>
          <w:lang w:eastAsia="zh-CN"/>
        </w:rPr>
        <w:t>，</w:t>
      </w:r>
      <w:r>
        <w:rPr>
          <w:rFonts w:hint="eastAsia" w:ascii="宋体" w:hAnsi="宋体" w:cs="宋体"/>
          <w:color w:val="auto"/>
          <w:sz w:val="32"/>
          <w:highlight w:val="none"/>
        </w:rPr>
        <w:t>乙方有权撤回运营团队解除本合同</w:t>
      </w:r>
      <w:r>
        <w:rPr>
          <w:rFonts w:hint="eastAsia" w:ascii="宋体" w:hAnsi="宋体" w:cs="宋体"/>
          <w:color w:val="auto"/>
          <w:sz w:val="32"/>
          <w:highlight w:val="none"/>
          <w:lang w:eastAsia="zh-CN"/>
        </w:rPr>
        <w:t>，</w:t>
      </w:r>
      <w:r>
        <w:rPr>
          <w:rFonts w:hint="eastAsia" w:ascii="宋体" w:hAnsi="宋体" w:cs="宋体"/>
          <w:color w:val="auto"/>
          <w:sz w:val="32"/>
          <w:highlight w:val="none"/>
          <w:lang w:val="en-US" w:eastAsia="zh-CN"/>
        </w:rPr>
        <w:t>本合同第三条第（一）款甲方权利义务第18点约定情况除外</w:t>
      </w:r>
      <w:r>
        <w:rPr>
          <w:rFonts w:hint="eastAsia" w:ascii="宋体" w:hAnsi="宋体" w:cs="宋体"/>
          <w:color w:val="auto"/>
          <w:sz w:val="32"/>
          <w:highlight w:val="none"/>
        </w:rPr>
        <w:t>。</w:t>
      </w:r>
    </w:p>
    <w:p w14:paraId="1D241D39">
      <w:pPr>
        <w:adjustRightInd w:val="0"/>
        <w:spacing w:line="560" w:lineRule="exact"/>
        <w:ind w:firstLine="640" w:firstLineChars="200"/>
        <w:jc w:val="left"/>
        <w:rPr>
          <w:rFonts w:hint="eastAsia" w:ascii="黑体" w:hAnsi="黑体" w:eastAsia="黑体" w:cs="黑体"/>
          <w:color w:val="auto"/>
          <w:highlight w:val="none"/>
        </w:rPr>
      </w:pPr>
      <w:r>
        <w:rPr>
          <w:rFonts w:hint="eastAsia" w:ascii="黑体" w:hAnsi="黑体" w:eastAsia="黑体" w:cs="黑体"/>
          <w:color w:val="auto"/>
          <w:highlight w:val="none"/>
        </w:rPr>
        <w:t>五、通知</w:t>
      </w:r>
    </w:p>
    <w:p w14:paraId="6F165ED9">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本合同所载地址、联系方式为双方确认的往来文件的有效送达地址和联系方式，也可以作为法院向当事人送达法律文书的送达地址和送达方式。如有变更，应提前五个</w:t>
      </w:r>
      <w:r>
        <w:rPr>
          <w:rFonts w:hint="eastAsia" w:ascii="宋体" w:hAnsi="宋体" w:cs="宋体"/>
          <w:color w:val="auto"/>
          <w:sz w:val="32"/>
          <w:highlight w:val="none"/>
          <w:lang w:val="en-US" w:eastAsia="zh-CN"/>
        </w:rPr>
        <w:t>工作</w:t>
      </w:r>
      <w:r>
        <w:rPr>
          <w:rFonts w:hint="eastAsia" w:ascii="宋体" w:hAnsi="宋体" w:cs="宋体"/>
          <w:color w:val="auto"/>
          <w:sz w:val="32"/>
          <w:highlight w:val="none"/>
          <w:lang w:eastAsia="zh-CN"/>
        </w:rPr>
        <w:t>日</w:t>
      </w:r>
      <w:r>
        <w:rPr>
          <w:rFonts w:hint="eastAsia" w:ascii="宋体" w:hAnsi="宋体" w:cs="宋体"/>
          <w:color w:val="auto"/>
          <w:sz w:val="32"/>
          <w:highlight w:val="none"/>
        </w:rPr>
        <w:t>书面通知合同对方。如未告知变更或告知有误、不准确，按前述地址发出后经过五日即视为有效送达并生效，由此产生的法律后果由被送达人承担。</w:t>
      </w:r>
    </w:p>
    <w:p w14:paraId="2E5D60AF">
      <w:pPr>
        <w:adjustRightInd w:val="0"/>
        <w:spacing w:line="560" w:lineRule="exact"/>
        <w:ind w:firstLine="640" w:firstLineChars="200"/>
        <w:jc w:val="left"/>
        <w:rPr>
          <w:rFonts w:hint="eastAsia" w:ascii="黑体" w:hAnsi="黑体" w:eastAsia="黑体" w:cs="黑体"/>
          <w:color w:val="auto"/>
          <w:highlight w:val="none"/>
        </w:rPr>
      </w:pPr>
      <w:r>
        <w:rPr>
          <w:rFonts w:hint="eastAsia" w:ascii="黑体" w:hAnsi="黑体" w:eastAsia="黑体" w:cs="黑体"/>
          <w:color w:val="auto"/>
          <w:highlight w:val="none"/>
        </w:rPr>
        <w:t>六、其他</w:t>
      </w:r>
    </w:p>
    <w:p w14:paraId="5C0E0A06">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1.双方同意对本协议的存在及其内容保密。此外，未经信息提供方许可，双方之间交流的任何保密信息不得向协议以外的其他个人或单位泄露。甲方依法应当公开的事项除外。</w:t>
      </w:r>
    </w:p>
    <w:p w14:paraId="702E7FAF">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2.本协议产生纠纷，双方应友好协商，协商不成，任一方均可向甲方所在地有管辖权的人民法院提起诉讼。</w:t>
      </w:r>
    </w:p>
    <w:p w14:paraId="1C9FC261">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3.未尽事宜，甲乙双方另行商定，可订立补充协议作为协议的附件，具有同等法律效力。</w:t>
      </w:r>
    </w:p>
    <w:p w14:paraId="079E927A">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4.本协议自</w:t>
      </w:r>
      <w:r>
        <w:rPr>
          <w:rFonts w:hint="eastAsia" w:ascii="宋体" w:hAnsi="宋体" w:cs="宋体"/>
          <w:color w:val="auto"/>
          <w:sz w:val="32"/>
          <w:highlight w:val="none"/>
          <w:lang w:val="en-US" w:eastAsia="zh-CN"/>
        </w:rPr>
        <w:t>双方签字盖章之日</w:t>
      </w:r>
      <w:r>
        <w:rPr>
          <w:rFonts w:hint="eastAsia" w:ascii="宋体" w:hAnsi="宋体" w:cs="宋体"/>
          <w:color w:val="auto"/>
          <w:sz w:val="32"/>
          <w:highlight w:val="none"/>
        </w:rPr>
        <w:t>起生效，本协议有效期至20</w:t>
      </w:r>
      <w:r>
        <w:rPr>
          <w:rFonts w:hint="eastAsia" w:ascii="宋体" w:hAnsi="宋体" w:cs="宋体"/>
          <w:color w:val="auto"/>
          <w:sz w:val="32"/>
          <w:highlight w:val="none"/>
          <w:lang w:val="en-US" w:eastAsia="zh-CN"/>
        </w:rPr>
        <w:t>31</w:t>
      </w:r>
      <w:r>
        <w:rPr>
          <w:rFonts w:hint="eastAsia" w:ascii="宋体" w:hAnsi="宋体" w:cs="宋体"/>
          <w:color w:val="auto"/>
          <w:sz w:val="32"/>
          <w:highlight w:val="none"/>
        </w:rPr>
        <w:t>年</w:t>
      </w:r>
      <w:r>
        <w:rPr>
          <w:rFonts w:hint="eastAsia" w:ascii="宋体" w:hAnsi="宋体" w:cs="宋体"/>
          <w:color w:val="auto"/>
          <w:sz w:val="32"/>
          <w:highlight w:val="none"/>
          <w:lang w:val="en-US" w:eastAsia="zh-CN"/>
        </w:rPr>
        <w:t>【  】</w:t>
      </w:r>
      <w:r>
        <w:rPr>
          <w:rFonts w:hint="eastAsia" w:ascii="宋体" w:hAnsi="宋体" w:cs="宋体"/>
          <w:color w:val="auto"/>
          <w:sz w:val="32"/>
          <w:highlight w:val="none"/>
        </w:rPr>
        <w:t>月</w:t>
      </w:r>
      <w:r>
        <w:rPr>
          <w:rFonts w:hint="eastAsia" w:ascii="宋体" w:hAnsi="宋体" w:cs="宋体"/>
          <w:color w:val="auto"/>
          <w:sz w:val="32"/>
          <w:highlight w:val="none"/>
          <w:lang w:val="en-US" w:eastAsia="zh-CN"/>
        </w:rPr>
        <w:t>【  】</w:t>
      </w:r>
      <w:r>
        <w:rPr>
          <w:rFonts w:hint="eastAsia" w:ascii="宋体" w:hAnsi="宋体" w:cs="宋体"/>
          <w:color w:val="auto"/>
          <w:sz w:val="32"/>
          <w:highlight w:val="none"/>
        </w:rPr>
        <w:t>日。</w:t>
      </w:r>
    </w:p>
    <w:p w14:paraId="28640199">
      <w:pPr>
        <w:pStyle w:val="25"/>
        <w:spacing w:line="560" w:lineRule="exact"/>
        <w:ind w:firstLine="480"/>
        <w:rPr>
          <w:rFonts w:hint="eastAsia" w:ascii="宋体" w:hAnsi="宋体" w:cs="宋体"/>
          <w:color w:val="auto"/>
          <w:sz w:val="32"/>
          <w:highlight w:val="none"/>
        </w:rPr>
      </w:pPr>
      <w:r>
        <w:rPr>
          <w:rFonts w:hint="eastAsia" w:ascii="宋体" w:hAnsi="宋体" w:cs="宋体"/>
          <w:color w:val="auto"/>
          <w:sz w:val="32"/>
          <w:highlight w:val="none"/>
        </w:rPr>
        <w:t>5.本合同一式肆份，甲乙双方各执贰份，具有同等的法律效力。</w:t>
      </w:r>
    </w:p>
    <w:p w14:paraId="7BF8F5A2">
      <w:pPr>
        <w:pStyle w:val="25"/>
        <w:spacing w:line="560" w:lineRule="exact"/>
        <w:ind w:firstLine="480"/>
        <w:rPr>
          <w:rFonts w:hint="eastAsia" w:ascii="宋体" w:hAnsi="宋体" w:cs="宋体"/>
          <w:color w:val="auto"/>
          <w:sz w:val="32"/>
          <w:highlight w:val="none"/>
        </w:rPr>
      </w:pPr>
    </w:p>
    <w:p w14:paraId="7F8703CA">
      <w:pPr>
        <w:pStyle w:val="25"/>
        <w:spacing w:line="560" w:lineRule="exact"/>
        <w:ind w:firstLine="480"/>
        <w:rPr>
          <w:rFonts w:hint="eastAsia" w:ascii="宋体" w:hAnsi="宋体" w:eastAsia="宋体" w:cs="宋体"/>
          <w:color w:val="auto"/>
          <w:sz w:val="32"/>
          <w:highlight w:val="none"/>
        </w:rPr>
      </w:pPr>
      <w:r>
        <w:rPr>
          <w:rFonts w:hint="eastAsia" w:ascii="宋体" w:hAnsi="宋体" w:eastAsia="宋体" w:cs="宋体"/>
          <w:color w:val="auto"/>
          <w:sz w:val="32"/>
          <w:highlight w:val="none"/>
        </w:rPr>
        <w:t>（以下无正文）</w:t>
      </w:r>
    </w:p>
    <w:p w14:paraId="0263BC14">
      <w:pPr>
        <w:pStyle w:val="27"/>
        <w:rPr>
          <w:color w:val="auto"/>
          <w:highlight w:val="none"/>
        </w:rPr>
      </w:pPr>
    </w:p>
    <w:p w14:paraId="7168720F">
      <w:pPr>
        <w:adjustRightInd w:val="0"/>
        <w:spacing w:line="560" w:lineRule="exact"/>
        <w:ind w:firstLine="643" w:firstLineChars="200"/>
        <w:rPr>
          <w:rFonts w:hint="eastAsia" w:ascii="仿宋" w:hAnsi="仿宋" w:eastAsia="仿宋" w:cs="仿宋"/>
          <w:color w:val="auto"/>
          <w:highlight w:val="none"/>
        </w:rPr>
      </w:pPr>
      <w:r>
        <w:rPr>
          <w:rFonts w:hint="eastAsia" w:ascii="仿宋" w:hAnsi="仿宋" w:eastAsia="仿宋" w:cs="仿宋"/>
          <w:b/>
          <w:bCs/>
          <w:color w:val="auto"/>
          <w:highlight w:val="none"/>
        </w:rPr>
        <w:t>甲方（签章）：</w:t>
      </w:r>
    </w:p>
    <w:p w14:paraId="1C9E64AD">
      <w:pPr>
        <w:adjustRightIn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法定代表人或授权代表签名：</w:t>
      </w:r>
    </w:p>
    <w:p w14:paraId="1355C1A0">
      <w:pPr>
        <w:adjustRightInd/>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6855681D">
      <w:pPr>
        <w:adjustRightInd w:val="0"/>
        <w:spacing w:line="560" w:lineRule="exact"/>
        <w:ind w:firstLine="640" w:firstLineChars="200"/>
        <w:rPr>
          <w:rFonts w:hint="eastAsia" w:ascii="仿宋" w:hAnsi="仿宋" w:eastAsia="仿宋" w:cs="仿宋"/>
          <w:color w:val="auto"/>
          <w:highlight w:val="none"/>
        </w:rPr>
      </w:pPr>
    </w:p>
    <w:p w14:paraId="18B186F9">
      <w:pPr>
        <w:adjustRightInd w:val="0"/>
        <w:spacing w:line="560" w:lineRule="exact"/>
        <w:ind w:firstLine="643"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乙方（签章）：</w:t>
      </w:r>
    </w:p>
    <w:p w14:paraId="207931E7">
      <w:pPr>
        <w:adjustRightIn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法定代表人或授权代表签名：</w:t>
      </w:r>
    </w:p>
    <w:p w14:paraId="5B370949">
      <w:pPr>
        <w:spacing w:line="560" w:lineRule="exact"/>
        <w:ind w:firstLine="640" w:firstLineChars="200"/>
        <w:jc w:val="both"/>
        <w:rPr>
          <w:color w:val="auto"/>
          <w:highlight w:val="none"/>
        </w:rPr>
      </w:pPr>
      <w:r>
        <w:rPr>
          <w:rFonts w:hint="eastAsia" w:ascii="仿宋" w:hAnsi="仿宋" w:eastAsia="仿宋" w:cs="仿宋"/>
          <w:color w:val="auto"/>
          <w:highlight w:val="none"/>
        </w:rPr>
        <w:t>日期：   年   月   日</w:t>
      </w:r>
      <w:bookmarkStart w:id="0" w:name="_GoBack"/>
      <w:bookmarkEnd w:id="0"/>
    </w:p>
    <w:sectPr>
      <w:footerReference r:id="rId7"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DD809C-87D8-45F1-A3C3-5F4CDD9AF1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DE020B2-B2F0-4408-A997-FFD2EB5D5909}"/>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0D784028-A633-4FF5-9BE4-678C4950443F}"/>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embedRegular r:id="rId4" w:fontKey="{B7AFD296-1968-4503-A167-DA330E592D8A}"/>
  </w:font>
  <w:font w:name="楷体_GB2312">
    <w:panose1 w:val="02010609030101010101"/>
    <w:charset w:val="86"/>
    <w:family w:val="auto"/>
    <w:pitch w:val="default"/>
    <w:sig w:usb0="00000001" w:usb1="080E0000" w:usb2="00000000" w:usb3="00000000" w:csb0="00040000" w:csb1="00000000"/>
    <w:embedRegular r:id="rId5" w:fontKey="{A31CDB69-E477-4E86-8844-D5C62E7E99D2}"/>
  </w:font>
  <w:font w:name="仿宋">
    <w:panose1 w:val="02010609060101010101"/>
    <w:charset w:val="86"/>
    <w:family w:val="modern"/>
    <w:pitch w:val="default"/>
    <w:sig w:usb0="800002BF" w:usb1="38CF7CFA" w:usb2="00000016" w:usb3="00000000" w:csb0="00040001" w:csb1="00000000"/>
    <w:embedRegular r:id="rId6" w:fontKey="{FCE6FD4A-3638-476B-BAE9-7F6B6C99D1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FF81">
    <w:pPr>
      <w:pStyle w:val="5"/>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p>
  <w:p w14:paraId="31B0F5DC">
    <w:pPr>
      <w:tabs>
        <w:tab w:val="center" w:pos="4153"/>
        <w:tab w:val="right" w:pos="8306"/>
      </w:tabs>
      <w:snapToGrid w:val="0"/>
      <w:jc w:val="left"/>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EF5E">
    <w:pPr>
      <w:pStyle w:val="5"/>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p>
  <w:p w14:paraId="1DBB4BD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F098">
    <w:pPr>
      <w:pStyle w:val="5"/>
    </w:pPr>
    <w:r>
      <mc:AlternateContent>
        <mc:Choice Requires="wps">
          <w:drawing>
            <wp:anchor distT="0" distB="0" distL="114300" distR="114300" simplePos="0" relativeHeight="251659264" behindDoc="0" locked="0" layoutInCell="1" allowOverlap="1">
              <wp:simplePos x="0" y="0"/>
              <wp:positionH relativeFrom="margin">
                <wp:posOffset>4657725</wp:posOffset>
              </wp:positionH>
              <wp:positionV relativeFrom="paragraph">
                <wp:posOffset>2540</wp:posOffset>
              </wp:positionV>
              <wp:extent cx="616585" cy="266700"/>
              <wp:effectExtent l="0" t="0" r="0" b="0"/>
              <wp:wrapNone/>
              <wp:docPr id="23" name="矩形 23"/>
              <wp:cNvGraphicFramePr/>
              <a:graphic xmlns:a="http://schemas.openxmlformats.org/drawingml/2006/main">
                <a:graphicData uri="http://schemas.microsoft.com/office/word/2010/wordprocessingShape">
                  <wps:wsp>
                    <wps:cNvSpPr/>
                    <wps:spPr>
                      <a:xfrm>
                        <a:off x="0" y="0"/>
                        <a:ext cx="616585" cy="266700"/>
                      </a:xfrm>
                      <a:prstGeom prst="rect">
                        <a:avLst/>
                      </a:prstGeom>
                      <a:noFill/>
                      <a:ln>
                        <a:noFill/>
                      </a:ln>
                      <a:effectLst/>
                    </wps:spPr>
                    <wps:txbx>
                      <w:txbxContent>
                        <w:p w14:paraId="26D9B8B8">
                          <w:pPr>
                            <w:pStyle w:val="5"/>
                            <w:rPr>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- 3 -</w:t>
                          </w:r>
                          <w:r>
                            <w:rPr>
                              <w:rFonts w:hint="eastAsia" w:ascii="宋体" w:hAnsi="宋体"/>
                              <w:sz w:val="28"/>
                              <w:szCs w:val="28"/>
                            </w:rPr>
                            <w:fldChar w:fldCharType="end"/>
                          </w:r>
                        </w:p>
                      </w:txbxContent>
                    </wps:txbx>
                    <wps:bodyPr vert="horz" wrap="square" lIns="0" tIns="0" rIns="0" bIns="0" anchor="t" anchorCtr="0">
                      <a:noAutofit/>
                    </wps:bodyPr>
                  </wps:wsp>
                </a:graphicData>
              </a:graphic>
            </wp:anchor>
          </w:drawing>
        </mc:Choice>
        <mc:Fallback>
          <w:pict>
            <v:rect id="_x0000_s1026" o:spid="_x0000_s1026" o:spt="1" style="position:absolute;left:0pt;margin-left:366.75pt;margin-top:0.2pt;height:21pt;width:48.55pt;mso-position-horizontal-relative:margin;z-index:251659264;mso-width-relative:page;mso-height-relative:page;" filled="f" stroked="f" coordsize="21600,21600" o:gfxdata="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gJDSNgAAAAHAQAADwAAAAAA&#10;AAABACAAAAAiAAAAZHJzL2Rvd25yZXYueG1sUEsBAhQAFAAAAAgAh07iQOQObEDaAQAAtQMAAA4A&#10;AAAAAAAAAQAgAAAAJwEAAGRycy9lMm9Eb2MueG1sUEsFBgAAAAAGAAYAWQEAAHMFAAAAAA==&#10;">
              <v:fill on="f" focussize="0,0"/>
              <v:stroke on="f"/>
              <v:imagedata o:title=""/>
              <o:lock v:ext="edit" aspectratio="f"/>
              <v:textbox inset="0mm,0mm,0mm,0mm">
                <w:txbxContent>
                  <w:p w14:paraId="26D9B8B8">
                    <w:pPr>
                      <w:pStyle w:val="5"/>
                      <w:rPr>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- 3 -</w:t>
                    </w:r>
                    <w:r>
                      <w:rPr>
                        <w:rFonts w:hint="eastAsia" w:ascii="宋体" w:hAnsi="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5E06">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B91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51A7"/>
    <w:multiLevelType w:val="singleLevel"/>
    <w:tmpl w:val="9FFF51A7"/>
    <w:lvl w:ilvl="0" w:tentative="0">
      <w:start w:val="17"/>
      <w:numFmt w:val="decimal"/>
      <w:lvlText w:val="%1."/>
      <w:lvlJc w:val="left"/>
      <w:pPr>
        <w:tabs>
          <w:tab w:val="left" w:pos="312"/>
        </w:tabs>
      </w:pPr>
    </w:lvl>
  </w:abstractNum>
  <w:abstractNum w:abstractNumId="1">
    <w:nsid w:val="3B903EB4"/>
    <w:multiLevelType w:val="singleLevel"/>
    <w:tmpl w:val="3B903EB4"/>
    <w:lvl w:ilvl="0" w:tentative="0">
      <w:start w:val="1"/>
      <w:numFmt w:val="decimal"/>
      <w:suff w:val="space"/>
      <w:lvlText w:val="%1."/>
      <w:lvlJc w:val="left"/>
    </w:lvl>
  </w:abstractNum>
  <w:abstractNum w:abstractNumId="2">
    <w:nsid w:val="7F372903"/>
    <w:multiLevelType w:val="singleLevel"/>
    <w:tmpl w:val="7F37290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NDk5ZjE0ZTE3MDRmYmZiNDRmODNmZjU2MDFkYjcifQ=="/>
  </w:docVars>
  <w:rsids>
    <w:rsidRoot w:val="FBBF302C"/>
    <w:rsid w:val="00010164"/>
    <w:rsid w:val="0001476B"/>
    <w:rsid w:val="0004669C"/>
    <w:rsid w:val="00071F96"/>
    <w:rsid w:val="00080460"/>
    <w:rsid w:val="00082457"/>
    <w:rsid w:val="00091298"/>
    <w:rsid w:val="00097930"/>
    <w:rsid w:val="000A37C5"/>
    <w:rsid w:val="000A4C84"/>
    <w:rsid w:val="000A502E"/>
    <w:rsid w:val="000B0D17"/>
    <w:rsid w:val="000B19E7"/>
    <w:rsid w:val="000C2190"/>
    <w:rsid w:val="000C4E8F"/>
    <w:rsid w:val="000D5E43"/>
    <w:rsid w:val="000E6D1F"/>
    <w:rsid w:val="000F2EC3"/>
    <w:rsid w:val="001044DE"/>
    <w:rsid w:val="0012077E"/>
    <w:rsid w:val="00122D78"/>
    <w:rsid w:val="00136D28"/>
    <w:rsid w:val="0014156C"/>
    <w:rsid w:val="00155C94"/>
    <w:rsid w:val="00163BA9"/>
    <w:rsid w:val="00177483"/>
    <w:rsid w:val="00177596"/>
    <w:rsid w:val="0018383D"/>
    <w:rsid w:val="001847D4"/>
    <w:rsid w:val="00194D7F"/>
    <w:rsid w:val="001A52A8"/>
    <w:rsid w:val="001A77F8"/>
    <w:rsid w:val="001B6632"/>
    <w:rsid w:val="001C2488"/>
    <w:rsid w:val="001E066D"/>
    <w:rsid w:val="001E314A"/>
    <w:rsid w:val="001F2695"/>
    <w:rsid w:val="001F59F3"/>
    <w:rsid w:val="00203550"/>
    <w:rsid w:val="00214CFA"/>
    <w:rsid w:val="00224078"/>
    <w:rsid w:val="00227C9A"/>
    <w:rsid w:val="002323F7"/>
    <w:rsid w:val="0023278F"/>
    <w:rsid w:val="00234C57"/>
    <w:rsid w:val="00243EAA"/>
    <w:rsid w:val="00244A33"/>
    <w:rsid w:val="00245802"/>
    <w:rsid w:val="0025287D"/>
    <w:rsid w:val="00254913"/>
    <w:rsid w:val="00272B44"/>
    <w:rsid w:val="00286AAB"/>
    <w:rsid w:val="00292ED6"/>
    <w:rsid w:val="002956BA"/>
    <w:rsid w:val="00296391"/>
    <w:rsid w:val="002A30C4"/>
    <w:rsid w:val="002A38BD"/>
    <w:rsid w:val="002B5D35"/>
    <w:rsid w:val="002C2932"/>
    <w:rsid w:val="002E3B7A"/>
    <w:rsid w:val="002E7223"/>
    <w:rsid w:val="002F3EC8"/>
    <w:rsid w:val="002F630B"/>
    <w:rsid w:val="00306D98"/>
    <w:rsid w:val="003215ED"/>
    <w:rsid w:val="00323D3A"/>
    <w:rsid w:val="003354DE"/>
    <w:rsid w:val="003502B1"/>
    <w:rsid w:val="003503C1"/>
    <w:rsid w:val="00356140"/>
    <w:rsid w:val="003563AC"/>
    <w:rsid w:val="00377884"/>
    <w:rsid w:val="00384B16"/>
    <w:rsid w:val="003905D9"/>
    <w:rsid w:val="003908C2"/>
    <w:rsid w:val="0039541E"/>
    <w:rsid w:val="00395B8B"/>
    <w:rsid w:val="00396624"/>
    <w:rsid w:val="003A06D0"/>
    <w:rsid w:val="003A6DE0"/>
    <w:rsid w:val="003C5F53"/>
    <w:rsid w:val="003E7E2C"/>
    <w:rsid w:val="0040611B"/>
    <w:rsid w:val="00406D1E"/>
    <w:rsid w:val="004100C6"/>
    <w:rsid w:val="00413295"/>
    <w:rsid w:val="00413AD0"/>
    <w:rsid w:val="00424AE5"/>
    <w:rsid w:val="00432827"/>
    <w:rsid w:val="00442ECF"/>
    <w:rsid w:val="004A4B4B"/>
    <w:rsid w:val="004A4D51"/>
    <w:rsid w:val="004B024F"/>
    <w:rsid w:val="004C08EF"/>
    <w:rsid w:val="004C0A1F"/>
    <w:rsid w:val="004C47CE"/>
    <w:rsid w:val="004D2DB9"/>
    <w:rsid w:val="004E44E0"/>
    <w:rsid w:val="004E62AC"/>
    <w:rsid w:val="00513A3D"/>
    <w:rsid w:val="00523D4A"/>
    <w:rsid w:val="005276AA"/>
    <w:rsid w:val="00533E99"/>
    <w:rsid w:val="005375C1"/>
    <w:rsid w:val="005417F4"/>
    <w:rsid w:val="00551EA7"/>
    <w:rsid w:val="00553328"/>
    <w:rsid w:val="00565715"/>
    <w:rsid w:val="005800C6"/>
    <w:rsid w:val="005803D8"/>
    <w:rsid w:val="00585694"/>
    <w:rsid w:val="005904AA"/>
    <w:rsid w:val="005905F1"/>
    <w:rsid w:val="005A5E5C"/>
    <w:rsid w:val="005A7143"/>
    <w:rsid w:val="005A7730"/>
    <w:rsid w:val="005B16B3"/>
    <w:rsid w:val="005B7E49"/>
    <w:rsid w:val="005C4382"/>
    <w:rsid w:val="005E08F0"/>
    <w:rsid w:val="005F747C"/>
    <w:rsid w:val="0060266F"/>
    <w:rsid w:val="006225E5"/>
    <w:rsid w:val="00626B1F"/>
    <w:rsid w:val="00630F82"/>
    <w:rsid w:val="006368BB"/>
    <w:rsid w:val="006507A0"/>
    <w:rsid w:val="00653441"/>
    <w:rsid w:val="006552D0"/>
    <w:rsid w:val="0065671A"/>
    <w:rsid w:val="00666EA2"/>
    <w:rsid w:val="006764F0"/>
    <w:rsid w:val="00677573"/>
    <w:rsid w:val="0068563B"/>
    <w:rsid w:val="006A43D8"/>
    <w:rsid w:val="006A47FA"/>
    <w:rsid w:val="006A62F7"/>
    <w:rsid w:val="006C2633"/>
    <w:rsid w:val="006D7C96"/>
    <w:rsid w:val="006E6961"/>
    <w:rsid w:val="007002F9"/>
    <w:rsid w:val="00713203"/>
    <w:rsid w:val="00714807"/>
    <w:rsid w:val="0075627C"/>
    <w:rsid w:val="00756DE8"/>
    <w:rsid w:val="007673CD"/>
    <w:rsid w:val="0077670E"/>
    <w:rsid w:val="00786565"/>
    <w:rsid w:val="00797609"/>
    <w:rsid w:val="007A19C9"/>
    <w:rsid w:val="007A750F"/>
    <w:rsid w:val="007A7542"/>
    <w:rsid w:val="007B11B3"/>
    <w:rsid w:val="007B1B1E"/>
    <w:rsid w:val="007B35A1"/>
    <w:rsid w:val="007B651C"/>
    <w:rsid w:val="007E256B"/>
    <w:rsid w:val="007E6233"/>
    <w:rsid w:val="007E6E98"/>
    <w:rsid w:val="007F1989"/>
    <w:rsid w:val="007F6100"/>
    <w:rsid w:val="00800AF6"/>
    <w:rsid w:val="00826D7A"/>
    <w:rsid w:val="008352ED"/>
    <w:rsid w:val="0084660B"/>
    <w:rsid w:val="0085127B"/>
    <w:rsid w:val="00857A41"/>
    <w:rsid w:val="008607FC"/>
    <w:rsid w:val="00870337"/>
    <w:rsid w:val="00875FF1"/>
    <w:rsid w:val="00893E79"/>
    <w:rsid w:val="008A0A71"/>
    <w:rsid w:val="008A2476"/>
    <w:rsid w:val="008D4754"/>
    <w:rsid w:val="008D4DE6"/>
    <w:rsid w:val="00905400"/>
    <w:rsid w:val="00905666"/>
    <w:rsid w:val="00912DAB"/>
    <w:rsid w:val="00917BFF"/>
    <w:rsid w:val="009340EE"/>
    <w:rsid w:val="00935D61"/>
    <w:rsid w:val="009429BA"/>
    <w:rsid w:val="00947FCF"/>
    <w:rsid w:val="00954F8E"/>
    <w:rsid w:val="00974B32"/>
    <w:rsid w:val="00974BD6"/>
    <w:rsid w:val="0098578C"/>
    <w:rsid w:val="009858E6"/>
    <w:rsid w:val="009916D6"/>
    <w:rsid w:val="00991D55"/>
    <w:rsid w:val="009B3B39"/>
    <w:rsid w:val="009C3809"/>
    <w:rsid w:val="009E53CE"/>
    <w:rsid w:val="009F0B6C"/>
    <w:rsid w:val="009F3A3C"/>
    <w:rsid w:val="00A0482F"/>
    <w:rsid w:val="00A0498B"/>
    <w:rsid w:val="00A25C24"/>
    <w:rsid w:val="00A4211C"/>
    <w:rsid w:val="00A42941"/>
    <w:rsid w:val="00A47738"/>
    <w:rsid w:val="00A54E22"/>
    <w:rsid w:val="00A55964"/>
    <w:rsid w:val="00A642FA"/>
    <w:rsid w:val="00A73DC0"/>
    <w:rsid w:val="00A81B86"/>
    <w:rsid w:val="00A831CB"/>
    <w:rsid w:val="00A842A5"/>
    <w:rsid w:val="00A902FD"/>
    <w:rsid w:val="00A921F6"/>
    <w:rsid w:val="00AA2FE4"/>
    <w:rsid w:val="00AA67D0"/>
    <w:rsid w:val="00AA78E2"/>
    <w:rsid w:val="00AB5F2B"/>
    <w:rsid w:val="00AB7FAF"/>
    <w:rsid w:val="00AC0222"/>
    <w:rsid w:val="00AC0869"/>
    <w:rsid w:val="00AC4801"/>
    <w:rsid w:val="00AC79A0"/>
    <w:rsid w:val="00AD36E6"/>
    <w:rsid w:val="00AE47E9"/>
    <w:rsid w:val="00AE561D"/>
    <w:rsid w:val="00AE5E77"/>
    <w:rsid w:val="00B0562D"/>
    <w:rsid w:val="00B23EA3"/>
    <w:rsid w:val="00B2482F"/>
    <w:rsid w:val="00B252BD"/>
    <w:rsid w:val="00B2646F"/>
    <w:rsid w:val="00B30A79"/>
    <w:rsid w:val="00B355D9"/>
    <w:rsid w:val="00B40E3F"/>
    <w:rsid w:val="00B44891"/>
    <w:rsid w:val="00B4585E"/>
    <w:rsid w:val="00B46D11"/>
    <w:rsid w:val="00B47D9C"/>
    <w:rsid w:val="00B50D29"/>
    <w:rsid w:val="00B51700"/>
    <w:rsid w:val="00B6298E"/>
    <w:rsid w:val="00B75D67"/>
    <w:rsid w:val="00B90382"/>
    <w:rsid w:val="00BB6648"/>
    <w:rsid w:val="00BF1F32"/>
    <w:rsid w:val="00BF7961"/>
    <w:rsid w:val="00C03D6A"/>
    <w:rsid w:val="00C129B3"/>
    <w:rsid w:val="00C21054"/>
    <w:rsid w:val="00C54B8B"/>
    <w:rsid w:val="00C555C4"/>
    <w:rsid w:val="00C56069"/>
    <w:rsid w:val="00C70167"/>
    <w:rsid w:val="00C77975"/>
    <w:rsid w:val="00C80E08"/>
    <w:rsid w:val="00C917EF"/>
    <w:rsid w:val="00C976FB"/>
    <w:rsid w:val="00CA05AC"/>
    <w:rsid w:val="00CA1B7A"/>
    <w:rsid w:val="00CA649C"/>
    <w:rsid w:val="00CB504E"/>
    <w:rsid w:val="00CB6FEA"/>
    <w:rsid w:val="00CC105F"/>
    <w:rsid w:val="00CD19CD"/>
    <w:rsid w:val="00CE2D34"/>
    <w:rsid w:val="00D12231"/>
    <w:rsid w:val="00D16A3F"/>
    <w:rsid w:val="00D1728B"/>
    <w:rsid w:val="00D21051"/>
    <w:rsid w:val="00D37990"/>
    <w:rsid w:val="00D45339"/>
    <w:rsid w:val="00D50788"/>
    <w:rsid w:val="00D541D7"/>
    <w:rsid w:val="00D54AB3"/>
    <w:rsid w:val="00D67E07"/>
    <w:rsid w:val="00D7631D"/>
    <w:rsid w:val="00DA50C4"/>
    <w:rsid w:val="00DB57F2"/>
    <w:rsid w:val="00DC19CB"/>
    <w:rsid w:val="00DC632E"/>
    <w:rsid w:val="00DC6C47"/>
    <w:rsid w:val="00DD0885"/>
    <w:rsid w:val="00DD7F8A"/>
    <w:rsid w:val="00DE6D9E"/>
    <w:rsid w:val="00E12946"/>
    <w:rsid w:val="00E14522"/>
    <w:rsid w:val="00E2672E"/>
    <w:rsid w:val="00E409DA"/>
    <w:rsid w:val="00E4358B"/>
    <w:rsid w:val="00E443EC"/>
    <w:rsid w:val="00E55F82"/>
    <w:rsid w:val="00E604E3"/>
    <w:rsid w:val="00E622DE"/>
    <w:rsid w:val="00E76BA7"/>
    <w:rsid w:val="00E80280"/>
    <w:rsid w:val="00E826EF"/>
    <w:rsid w:val="00E862DE"/>
    <w:rsid w:val="00E90EE0"/>
    <w:rsid w:val="00E91228"/>
    <w:rsid w:val="00E9152D"/>
    <w:rsid w:val="00E9215C"/>
    <w:rsid w:val="00E95B38"/>
    <w:rsid w:val="00EA0921"/>
    <w:rsid w:val="00EA1366"/>
    <w:rsid w:val="00EB0E86"/>
    <w:rsid w:val="00EB3195"/>
    <w:rsid w:val="00EB3B17"/>
    <w:rsid w:val="00EB6E55"/>
    <w:rsid w:val="00EC3E83"/>
    <w:rsid w:val="00ED3B66"/>
    <w:rsid w:val="00EE230C"/>
    <w:rsid w:val="00EF36C1"/>
    <w:rsid w:val="00F27389"/>
    <w:rsid w:val="00F455C6"/>
    <w:rsid w:val="00F503EA"/>
    <w:rsid w:val="00F517EF"/>
    <w:rsid w:val="00F5650B"/>
    <w:rsid w:val="00F573E2"/>
    <w:rsid w:val="00F60090"/>
    <w:rsid w:val="00F6086A"/>
    <w:rsid w:val="00F6176A"/>
    <w:rsid w:val="00F66372"/>
    <w:rsid w:val="00F73E87"/>
    <w:rsid w:val="00F74A73"/>
    <w:rsid w:val="00F81700"/>
    <w:rsid w:val="00F81BE2"/>
    <w:rsid w:val="00F83714"/>
    <w:rsid w:val="00F909E2"/>
    <w:rsid w:val="00FA77D7"/>
    <w:rsid w:val="00FC4A62"/>
    <w:rsid w:val="00FE3F92"/>
    <w:rsid w:val="00FE6208"/>
    <w:rsid w:val="00FE632D"/>
    <w:rsid w:val="00FF255E"/>
    <w:rsid w:val="00FF29AD"/>
    <w:rsid w:val="0173247E"/>
    <w:rsid w:val="019A5100"/>
    <w:rsid w:val="037A057C"/>
    <w:rsid w:val="03A74512"/>
    <w:rsid w:val="053F0E49"/>
    <w:rsid w:val="05C420BC"/>
    <w:rsid w:val="071874D5"/>
    <w:rsid w:val="07862691"/>
    <w:rsid w:val="08047D4E"/>
    <w:rsid w:val="0AB252BA"/>
    <w:rsid w:val="0ADB8F45"/>
    <w:rsid w:val="0BC63740"/>
    <w:rsid w:val="0C7B29E0"/>
    <w:rsid w:val="0CD23AAE"/>
    <w:rsid w:val="0DC4619F"/>
    <w:rsid w:val="0EEFCE35"/>
    <w:rsid w:val="0F277CE7"/>
    <w:rsid w:val="0F317386"/>
    <w:rsid w:val="0F5317D5"/>
    <w:rsid w:val="0F8A6A96"/>
    <w:rsid w:val="0FCC23DF"/>
    <w:rsid w:val="10F71F2D"/>
    <w:rsid w:val="11AF2A60"/>
    <w:rsid w:val="11E4774A"/>
    <w:rsid w:val="12E9863D"/>
    <w:rsid w:val="132B5FB2"/>
    <w:rsid w:val="135C6A18"/>
    <w:rsid w:val="145218D0"/>
    <w:rsid w:val="14746DB6"/>
    <w:rsid w:val="1563658C"/>
    <w:rsid w:val="15AC7DCB"/>
    <w:rsid w:val="160B6576"/>
    <w:rsid w:val="161B5E12"/>
    <w:rsid w:val="162B6418"/>
    <w:rsid w:val="176A51F7"/>
    <w:rsid w:val="181E3FE1"/>
    <w:rsid w:val="1BDFF759"/>
    <w:rsid w:val="1C737AA2"/>
    <w:rsid w:val="1CA81744"/>
    <w:rsid w:val="1D1F79CB"/>
    <w:rsid w:val="1D322F3A"/>
    <w:rsid w:val="1E0B21AC"/>
    <w:rsid w:val="1E29114A"/>
    <w:rsid w:val="1EF432EF"/>
    <w:rsid w:val="1EFF8ABB"/>
    <w:rsid w:val="1F5C4EF5"/>
    <w:rsid w:val="21A13B19"/>
    <w:rsid w:val="21F35EBD"/>
    <w:rsid w:val="24313844"/>
    <w:rsid w:val="24385891"/>
    <w:rsid w:val="24997A50"/>
    <w:rsid w:val="24D77C8A"/>
    <w:rsid w:val="24FF08DC"/>
    <w:rsid w:val="25505F19"/>
    <w:rsid w:val="25A2531A"/>
    <w:rsid w:val="25F52A64"/>
    <w:rsid w:val="26202C71"/>
    <w:rsid w:val="268034F1"/>
    <w:rsid w:val="26920BFA"/>
    <w:rsid w:val="26B2025F"/>
    <w:rsid w:val="27706829"/>
    <w:rsid w:val="278C1A76"/>
    <w:rsid w:val="27DD4701"/>
    <w:rsid w:val="28764466"/>
    <w:rsid w:val="29312005"/>
    <w:rsid w:val="29AD52B5"/>
    <w:rsid w:val="29B509C1"/>
    <w:rsid w:val="2A9E54E7"/>
    <w:rsid w:val="2A9F19FC"/>
    <w:rsid w:val="2B1852AC"/>
    <w:rsid w:val="2BF15B4D"/>
    <w:rsid w:val="2C5A59E1"/>
    <w:rsid w:val="2D015AAC"/>
    <w:rsid w:val="2D274315"/>
    <w:rsid w:val="2DBE53A3"/>
    <w:rsid w:val="2E8A2026"/>
    <w:rsid w:val="2EF5C81E"/>
    <w:rsid w:val="2F45269A"/>
    <w:rsid w:val="2F8337D6"/>
    <w:rsid w:val="2F970416"/>
    <w:rsid w:val="2FF67B04"/>
    <w:rsid w:val="30FBBC11"/>
    <w:rsid w:val="316E315D"/>
    <w:rsid w:val="31D91015"/>
    <w:rsid w:val="330C208C"/>
    <w:rsid w:val="33367810"/>
    <w:rsid w:val="33CF2B46"/>
    <w:rsid w:val="33FA06B3"/>
    <w:rsid w:val="349B737D"/>
    <w:rsid w:val="34F70622"/>
    <w:rsid w:val="350420A0"/>
    <w:rsid w:val="35942299"/>
    <w:rsid w:val="36C648F5"/>
    <w:rsid w:val="375E6FAE"/>
    <w:rsid w:val="377D4D69"/>
    <w:rsid w:val="37B0161F"/>
    <w:rsid w:val="380B4821"/>
    <w:rsid w:val="387CBF87"/>
    <w:rsid w:val="38B4677D"/>
    <w:rsid w:val="39050DB8"/>
    <w:rsid w:val="390F5C29"/>
    <w:rsid w:val="3949510E"/>
    <w:rsid w:val="39E06407"/>
    <w:rsid w:val="3A7BA1E2"/>
    <w:rsid w:val="3A8A0B21"/>
    <w:rsid w:val="3AED7D56"/>
    <w:rsid w:val="3B42155A"/>
    <w:rsid w:val="3B93E7EB"/>
    <w:rsid w:val="3BC9431F"/>
    <w:rsid w:val="3C013015"/>
    <w:rsid w:val="3CFE0DC2"/>
    <w:rsid w:val="3E4203B8"/>
    <w:rsid w:val="3E6781E6"/>
    <w:rsid w:val="3EDD6D35"/>
    <w:rsid w:val="3EDF0565"/>
    <w:rsid w:val="3EDF3C07"/>
    <w:rsid w:val="3F707B9E"/>
    <w:rsid w:val="3F7D95EA"/>
    <w:rsid w:val="3FDF9A16"/>
    <w:rsid w:val="3FFB0712"/>
    <w:rsid w:val="3FFB283B"/>
    <w:rsid w:val="403917B2"/>
    <w:rsid w:val="41195036"/>
    <w:rsid w:val="41664660"/>
    <w:rsid w:val="41B638DE"/>
    <w:rsid w:val="425168B7"/>
    <w:rsid w:val="43006075"/>
    <w:rsid w:val="43EB2267"/>
    <w:rsid w:val="440B5E1C"/>
    <w:rsid w:val="442E7AA0"/>
    <w:rsid w:val="45097306"/>
    <w:rsid w:val="46C81412"/>
    <w:rsid w:val="46FD587D"/>
    <w:rsid w:val="47A67C0A"/>
    <w:rsid w:val="47C42728"/>
    <w:rsid w:val="482E2C2F"/>
    <w:rsid w:val="484D0086"/>
    <w:rsid w:val="4936382E"/>
    <w:rsid w:val="49B42246"/>
    <w:rsid w:val="4A05330E"/>
    <w:rsid w:val="4A361E49"/>
    <w:rsid w:val="4B9A1834"/>
    <w:rsid w:val="4C624B69"/>
    <w:rsid w:val="4CEB4CA9"/>
    <w:rsid w:val="4EE12204"/>
    <w:rsid w:val="4F340F18"/>
    <w:rsid w:val="4F762961"/>
    <w:rsid w:val="50357D7D"/>
    <w:rsid w:val="50AE32FC"/>
    <w:rsid w:val="5129193F"/>
    <w:rsid w:val="52102850"/>
    <w:rsid w:val="532A5475"/>
    <w:rsid w:val="54D42AE5"/>
    <w:rsid w:val="55155F9B"/>
    <w:rsid w:val="55654C60"/>
    <w:rsid w:val="56F049FE"/>
    <w:rsid w:val="57323268"/>
    <w:rsid w:val="57474258"/>
    <w:rsid w:val="57484A87"/>
    <w:rsid w:val="580B5F93"/>
    <w:rsid w:val="589870FB"/>
    <w:rsid w:val="5903310E"/>
    <w:rsid w:val="5A5B2291"/>
    <w:rsid w:val="5AFB31AD"/>
    <w:rsid w:val="5AFE9AF5"/>
    <w:rsid w:val="5B9C5539"/>
    <w:rsid w:val="5BFF9A51"/>
    <w:rsid w:val="5C3901B8"/>
    <w:rsid w:val="5CE44C91"/>
    <w:rsid w:val="5DFE4479"/>
    <w:rsid w:val="5E0BE351"/>
    <w:rsid w:val="5E623B68"/>
    <w:rsid w:val="5EEF0D84"/>
    <w:rsid w:val="5F223BC2"/>
    <w:rsid w:val="5F7D5B1F"/>
    <w:rsid w:val="5FFFE379"/>
    <w:rsid w:val="6039313D"/>
    <w:rsid w:val="612C207B"/>
    <w:rsid w:val="61533C0D"/>
    <w:rsid w:val="615F2EAC"/>
    <w:rsid w:val="618141A9"/>
    <w:rsid w:val="626C4342"/>
    <w:rsid w:val="62B27B7D"/>
    <w:rsid w:val="62F835B8"/>
    <w:rsid w:val="637982B0"/>
    <w:rsid w:val="63916E3F"/>
    <w:rsid w:val="64150785"/>
    <w:rsid w:val="642F125B"/>
    <w:rsid w:val="64F46001"/>
    <w:rsid w:val="654E3963"/>
    <w:rsid w:val="65C33615"/>
    <w:rsid w:val="66B05DDF"/>
    <w:rsid w:val="66F26570"/>
    <w:rsid w:val="67E07508"/>
    <w:rsid w:val="6855791D"/>
    <w:rsid w:val="687A4A6F"/>
    <w:rsid w:val="694F1A58"/>
    <w:rsid w:val="69AC03BA"/>
    <w:rsid w:val="6A183AC4"/>
    <w:rsid w:val="6A246A40"/>
    <w:rsid w:val="6A4B5FE8"/>
    <w:rsid w:val="6B182A49"/>
    <w:rsid w:val="6B563571"/>
    <w:rsid w:val="6C0655F8"/>
    <w:rsid w:val="6C3F7026"/>
    <w:rsid w:val="6CAE6A95"/>
    <w:rsid w:val="6E5673E4"/>
    <w:rsid w:val="6E7E4314"/>
    <w:rsid w:val="6EDC2B95"/>
    <w:rsid w:val="6EFC33A2"/>
    <w:rsid w:val="6F400DDF"/>
    <w:rsid w:val="6FB37179"/>
    <w:rsid w:val="6FD74727"/>
    <w:rsid w:val="6FEF6AC4"/>
    <w:rsid w:val="70FF85F0"/>
    <w:rsid w:val="71560374"/>
    <w:rsid w:val="720F447A"/>
    <w:rsid w:val="725105EF"/>
    <w:rsid w:val="72E47527"/>
    <w:rsid w:val="739D6D7C"/>
    <w:rsid w:val="740B1CD5"/>
    <w:rsid w:val="74FF7F6B"/>
    <w:rsid w:val="75443BA1"/>
    <w:rsid w:val="755C79D6"/>
    <w:rsid w:val="75BC971F"/>
    <w:rsid w:val="75BFC81D"/>
    <w:rsid w:val="765F10D1"/>
    <w:rsid w:val="76B534A4"/>
    <w:rsid w:val="77DFB518"/>
    <w:rsid w:val="783E33C3"/>
    <w:rsid w:val="78AD0F5F"/>
    <w:rsid w:val="797D9103"/>
    <w:rsid w:val="79891319"/>
    <w:rsid w:val="798F5890"/>
    <w:rsid w:val="79C50555"/>
    <w:rsid w:val="79E135F6"/>
    <w:rsid w:val="7A7398E2"/>
    <w:rsid w:val="7AA31C03"/>
    <w:rsid w:val="7B2C55A1"/>
    <w:rsid w:val="7C755A94"/>
    <w:rsid w:val="7CB82FAA"/>
    <w:rsid w:val="7CE70014"/>
    <w:rsid w:val="7D343F68"/>
    <w:rsid w:val="7D8F021D"/>
    <w:rsid w:val="7EF63F5D"/>
    <w:rsid w:val="7F2F7A13"/>
    <w:rsid w:val="7F313C82"/>
    <w:rsid w:val="7F378A99"/>
    <w:rsid w:val="7F41119B"/>
    <w:rsid w:val="7F424B87"/>
    <w:rsid w:val="7F5687F2"/>
    <w:rsid w:val="7F7F3B2E"/>
    <w:rsid w:val="7F7F494D"/>
    <w:rsid w:val="7F9E7CDE"/>
    <w:rsid w:val="7FC8637F"/>
    <w:rsid w:val="7FD6C2C6"/>
    <w:rsid w:val="7FDFA2A2"/>
    <w:rsid w:val="7FF64DCE"/>
    <w:rsid w:val="7FFF8F49"/>
    <w:rsid w:val="86BF1B61"/>
    <w:rsid w:val="96B3D443"/>
    <w:rsid w:val="97E6C91D"/>
    <w:rsid w:val="9ABEEE7E"/>
    <w:rsid w:val="9BBFA487"/>
    <w:rsid w:val="9DF288E9"/>
    <w:rsid w:val="9F77DCEE"/>
    <w:rsid w:val="9FF66FDF"/>
    <w:rsid w:val="AF9A5801"/>
    <w:rsid w:val="AFAC8E46"/>
    <w:rsid w:val="AFB39400"/>
    <w:rsid w:val="B3DF7228"/>
    <w:rsid w:val="B7DF51F9"/>
    <w:rsid w:val="BBFA068F"/>
    <w:rsid w:val="BD5F6E3A"/>
    <w:rsid w:val="BF7AEA71"/>
    <w:rsid w:val="BF7F0025"/>
    <w:rsid w:val="BFDF3FEF"/>
    <w:rsid w:val="C2E34B93"/>
    <w:rsid w:val="C8FD265D"/>
    <w:rsid w:val="CB6BA985"/>
    <w:rsid w:val="CBDF5F07"/>
    <w:rsid w:val="DEDCEC26"/>
    <w:rsid w:val="DEFF17FB"/>
    <w:rsid w:val="DF3FC6D1"/>
    <w:rsid w:val="DF670AA1"/>
    <w:rsid w:val="DFAF7EE8"/>
    <w:rsid w:val="DFBF5B7E"/>
    <w:rsid w:val="DFD70A85"/>
    <w:rsid w:val="DFDF89A1"/>
    <w:rsid w:val="DFEB3E0D"/>
    <w:rsid w:val="DFFC7A79"/>
    <w:rsid w:val="DFFED5BD"/>
    <w:rsid w:val="E7BF76E5"/>
    <w:rsid w:val="E7FBCB6F"/>
    <w:rsid w:val="E9FD6871"/>
    <w:rsid w:val="EDBFA895"/>
    <w:rsid w:val="EDF39D5F"/>
    <w:rsid w:val="EED7F59A"/>
    <w:rsid w:val="EFDDCCAE"/>
    <w:rsid w:val="EFDFDDB6"/>
    <w:rsid w:val="EFFAB723"/>
    <w:rsid w:val="F176FAB9"/>
    <w:rsid w:val="F316C60E"/>
    <w:rsid w:val="F5EF901D"/>
    <w:rsid w:val="F6FEF4F7"/>
    <w:rsid w:val="F9711FB4"/>
    <w:rsid w:val="FACE1BF5"/>
    <w:rsid w:val="FBBF302C"/>
    <w:rsid w:val="FBC6B236"/>
    <w:rsid w:val="FD6D2E2A"/>
    <w:rsid w:val="FDABF265"/>
    <w:rsid w:val="FDFFFC0D"/>
    <w:rsid w:val="FE79A504"/>
    <w:rsid w:val="FEB583A1"/>
    <w:rsid w:val="FEE168CB"/>
    <w:rsid w:val="FF3C1153"/>
    <w:rsid w:val="FF79F1A2"/>
    <w:rsid w:val="FF7E92B2"/>
    <w:rsid w:val="FF7F527A"/>
    <w:rsid w:val="FFBCBA04"/>
    <w:rsid w:val="FFBDFCF6"/>
    <w:rsid w:val="FFF746B2"/>
    <w:rsid w:val="FFFFDD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link w:val="15"/>
    <w:unhideWhenUsed/>
    <w:qFormat/>
    <w:uiPriority w:val="0"/>
    <w:pPr>
      <w:keepNext/>
      <w:keepLines/>
      <w:spacing w:before="260" w:after="260" w:line="416" w:lineRule="auto"/>
      <w:outlineLvl w:val="1"/>
    </w:pPr>
    <w:rPr>
      <w:rFonts w:ascii="等线 Light" w:hAnsi="等线 Light" w:eastAsia="等线 Light" w:cs="Times New Roman"/>
      <w:b/>
      <w:bCs/>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964" w:firstLineChars="200"/>
    </w:pPr>
    <w:rPr>
      <w:rFonts w:ascii="Times New Roman" w:eastAsia="宋体"/>
      <w:sz w:val="21"/>
      <w:szCs w:val="24"/>
    </w:rPr>
  </w:style>
  <w:style w:type="paragraph" w:styleId="4">
    <w:name w:val="annotation text"/>
    <w:basedOn w:val="1"/>
    <w:link w:val="16"/>
    <w:qFormat/>
    <w:uiPriority w:val="99"/>
    <w:pPr>
      <w:jc w:val="left"/>
    </w:pPr>
  </w:style>
  <w:style w:type="paragraph" w:styleId="5">
    <w:name w:val="footer"/>
    <w:basedOn w:val="1"/>
    <w:link w:val="17"/>
    <w:unhideWhenUsed/>
    <w:qFormat/>
    <w:uiPriority w:val="99"/>
    <w:pPr>
      <w:tabs>
        <w:tab w:val="center" w:pos="4153"/>
        <w:tab w:val="right" w:pos="8306"/>
      </w:tabs>
      <w:snapToGrid w:val="0"/>
    </w:pPr>
    <w:rPr>
      <w:rFonts w:ascii="Calibri" w:hAnsi="Calibri" w:eastAsia="宋体"/>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7">
    <w:name w:val="footnote text"/>
    <w:basedOn w:val="1"/>
    <w:link w:val="18"/>
    <w:qFormat/>
    <w:uiPriority w:val="0"/>
    <w:pPr>
      <w:snapToGrid w:val="0"/>
      <w:jc w:val="left"/>
    </w:pPr>
    <w:rPr>
      <w:rFonts w:ascii="Calibri" w:hAnsi="Calibri" w:eastAsia="宋体"/>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9">
    <w:name w:val="annotation subject"/>
    <w:basedOn w:val="4"/>
    <w:next w:val="4"/>
    <w:link w:val="19"/>
    <w:qFormat/>
    <w:uiPriority w:val="0"/>
    <w:pPr>
      <w:jc w:val="both"/>
    </w:pPr>
    <w:rPr>
      <w:b/>
      <w:bCs/>
      <w:sz w:val="20"/>
      <w:szCs w:val="20"/>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styleId="14">
    <w:name w:val="footnote reference"/>
    <w:qFormat/>
    <w:uiPriority w:val="0"/>
    <w:rPr>
      <w:vertAlign w:val="superscript"/>
    </w:rPr>
  </w:style>
  <w:style w:type="character" w:customStyle="1" w:styleId="15">
    <w:name w:val="标题 2 字符"/>
    <w:basedOn w:val="12"/>
    <w:link w:val="2"/>
    <w:qFormat/>
    <w:uiPriority w:val="0"/>
    <w:rPr>
      <w:rFonts w:ascii="等线 Light" w:hAnsi="等线 Light" w:eastAsia="等线 Light"/>
      <w:b/>
      <w:bCs/>
      <w:kern w:val="2"/>
      <w:sz w:val="32"/>
      <w:szCs w:val="32"/>
      <w:lang w:val="en-US"/>
    </w:rPr>
  </w:style>
  <w:style w:type="character" w:customStyle="1" w:styleId="16">
    <w:name w:val="批注文字 字符"/>
    <w:basedOn w:val="12"/>
    <w:link w:val="4"/>
    <w:qFormat/>
    <w:uiPriority w:val="99"/>
    <w:rPr>
      <w:rFonts w:ascii="仿宋_GB2312" w:hAnsi="Times New Roman" w:eastAsia="仿宋_GB2312" w:cs="Times New Roman"/>
      <w:kern w:val="2"/>
      <w:sz w:val="32"/>
      <w:szCs w:val="32"/>
      <w:lang w:val="en-US"/>
    </w:rPr>
  </w:style>
  <w:style w:type="character" w:customStyle="1" w:styleId="17">
    <w:name w:val="页脚 字符"/>
    <w:basedOn w:val="12"/>
    <w:link w:val="5"/>
    <w:qFormat/>
    <w:uiPriority w:val="99"/>
    <w:rPr>
      <w:rFonts w:ascii="Calibri" w:hAnsi="Calibri" w:eastAsia="宋体" w:cs="Times New Roman"/>
      <w:kern w:val="2"/>
      <w:sz w:val="18"/>
      <w:szCs w:val="18"/>
      <w:lang w:val="en-US"/>
    </w:rPr>
  </w:style>
  <w:style w:type="character" w:customStyle="1" w:styleId="18">
    <w:name w:val="脚注文本 字符"/>
    <w:basedOn w:val="12"/>
    <w:link w:val="7"/>
    <w:qFormat/>
    <w:uiPriority w:val="0"/>
    <w:rPr>
      <w:rFonts w:ascii="Calibri" w:hAnsi="Calibri" w:eastAsia="宋体" w:cs="Times New Roman"/>
      <w:kern w:val="2"/>
      <w:sz w:val="18"/>
      <w:szCs w:val="18"/>
      <w:lang w:val="en-US"/>
    </w:rPr>
  </w:style>
  <w:style w:type="character" w:customStyle="1" w:styleId="19">
    <w:name w:val="批注主题 字符"/>
    <w:basedOn w:val="16"/>
    <w:link w:val="9"/>
    <w:qFormat/>
    <w:uiPriority w:val="0"/>
    <w:rPr>
      <w:rFonts w:ascii="仿宋_GB2312" w:hAnsi="Times New Roman" w:eastAsia="仿宋_GB2312" w:cs="Times New Roman"/>
      <w:b/>
      <w:bCs/>
      <w:kern w:val="2"/>
      <w:sz w:val="32"/>
      <w:szCs w:val="32"/>
      <w:lang w:val="en-US"/>
    </w:rPr>
  </w:style>
  <w:style w:type="paragraph" w:customStyle="1" w:styleId="20">
    <w:name w:val="修订1"/>
    <w:unhideWhenUsed/>
    <w:qFormat/>
    <w:uiPriority w:val="99"/>
    <w:rPr>
      <w:rFonts w:ascii="仿宋_GB2312" w:hAnsi="Times New Roman" w:eastAsia="仿宋_GB2312" w:cs="Times New Roman"/>
      <w:kern w:val="2"/>
      <w:sz w:val="32"/>
      <w:szCs w:val="32"/>
      <w:lang w:val="en-US" w:eastAsia="zh-CN" w:bidi="ar-SA"/>
    </w:rPr>
  </w:style>
  <w:style w:type="paragraph" w:customStyle="1" w:styleId="21">
    <w:name w:val="Revision2"/>
    <w:unhideWhenUsed/>
    <w:qFormat/>
    <w:uiPriority w:val="99"/>
    <w:rPr>
      <w:rFonts w:ascii="仿宋_GB2312" w:hAnsi="Times New Roman" w:eastAsia="仿宋_GB2312" w:cs="Times New Roman"/>
      <w:kern w:val="2"/>
      <w:sz w:val="32"/>
      <w:szCs w:val="32"/>
      <w:lang w:val="en-US" w:eastAsia="zh-CN" w:bidi="ar-SA"/>
    </w:rPr>
  </w:style>
  <w:style w:type="paragraph" w:customStyle="1" w:styleId="22">
    <w:name w:val="Revision1"/>
    <w:unhideWhenUsed/>
    <w:qFormat/>
    <w:uiPriority w:val="99"/>
    <w:rPr>
      <w:rFonts w:ascii="仿宋_GB2312" w:hAnsi="Times New Roman" w:eastAsia="仿宋_GB2312" w:cs="Times New Roman"/>
      <w:kern w:val="2"/>
      <w:sz w:val="32"/>
      <w:szCs w:val="32"/>
      <w:lang w:val="en-US" w:eastAsia="zh-CN" w:bidi="ar-SA"/>
    </w:rPr>
  </w:style>
  <w:style w:type="paragraph" w:customStyle="1" w:styleId="23">
    <w:name w:val="Revision"/>
    <w:unhideWhenUsed/>
    <w:qFormat/>
    <w:uiPriority w:val="99"/>
    <w:rPr>
      <w:rFonts w:ascii="仿宋_GB2312" w:hAnsi="Times New Roman" w:eastAsia="仿宋_GB2312" w:cs="Times New Roman"/>
      <w:kern w:val="2"/>
      <w:sz w:val="32"/>
      <w:szCs w:val="32"/>
      <w:lang w:val="en-US" w:eastAsia="zh-CN" w:bidi="ar-SA"/>
    </w:rPr>
  </w:style>
  <w:style w:type="paragraph" w:customStyle="1" w:styleId="24">
    <w:name w:val="正文首行缩进 21"/>
    <w:qFormat/>
    <w:uiPriority w:val="0"/>
    <w:pPr>
      <w:ind w:firstLine="420"/>
    </w:pPr>
    <w:rPr>
      <w:rFonts w:ascii="仿宋_GB2312" w:hAnsi="仿宋_GB2312" w:eastAsia="仿宋_GB2312" w:cs="仿宋_GB2312"/>
      <w:sz w:val="32"/>
      <w:szCs w:val="32"/>
      <w:lang w:val="en-US" w:eastAsia="zh-CN" w:bidi="ar-SA"/>
    </w:rPr>
  </w:style>
  <w:style w:type="paragraph" w:customStyle="1" w:styleId="25">
    <w:name w:val="List Paragraph"/>
    <w:basedOn w:val="1"/>
    <w:qFormat/>
    <w:uiPriority w:val="99"/>
    <w:pPr>
      <w:ind w:firstLine="420" w:firstLineChars="200"/>
    </w:pPr>
  </w:style>
  <w:style w:type="paragraph" w:customStyle="1" w:styleId="2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7">
    <w:name w:val="正文缩进1"/>
    <w:basedOn w:val="1"/>
    <w:qFormat/>
    <w:uiPriority w:val="0"/>
    <w:pPr>
      <w:spacing w:line="560" w:lineRule="exact"/>
      <w:jc w:val="left"/>
    </w:pPr>
    <w:rPr>
      <w:rFonts w:ascii="Calibri" w:hAnsi="Calibri"/>
    </w:rPr>
  </w:style>
  <w:style w:type="paragraph" w:customStyle="1" w:styleId="28">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e975792b-b406-4c16-9a81-2fcefdd92873</errorID>
      <errorWord>二六 年</errorWord>
      <group>L1_AI</group>
      <groupName>深度校对</groupName>
      <ability>L2_AI_Word</ability>
      <abilityName>字词纠错</abilityName>
      <candidateList>
        <item>二六年</item>
      </candidateList>
      <explain/>
      <paraID>41379443</paraID>
      <start>2</start>
      <end>6</end>
      <status>unmodified</status>
      <modifiedWord/>
      <trackRevisions>false</trackRevisions>
    </reviewItem>
    <reviewItem>
      <errorID>eb7e188e-d11a-406f-9d77-f99fdde3a92d</errorID>
      <errorWord>乙方提供</errorWord>
      <group>L1_AI</group>
      <groupName>深度校对</groupName>
      <ability>L2_AI_Grammar</ability>
      <abilityName>语法纠错</abilityName>
      <candidateList>
        <item>乙方</item>
      </candidateList>
      <explain/>
      <paraID>191BF0F0</paraID>
      <start>49</start>
      <end>53</end>
      <status>unmodified</status>
      <modifiedWord/>
      <trackRevisions>false</trackRevisions>
    </reviewItem>
    <reviewItem>
      <errorID>7e35c8aa-ac6d-46a2-8779-b99d7fdb7c11</errorID>
      <errorWord>:</errorWord>
      <group>L1_Format</group>
      <groupName>格式问题</groupName>
      <ability>L2_HalfPunc</ability>
      <abilityName>全半角检查</abilityName>
      <candidateList>
        <item>：</item>
      </candidateList>
      <explain>文本全半角错误。</explain>
      <paraID>191BF0F0</paraID>
      <start>59</start>
      <end>61</end>
      <status>modified</status>
      <modifiedWord>：</modifiedWord>
      <trackRevisions>true</trackRevisions>
    </reviewItem>
    <reviewItem>
      <errorID>1dd2704d-a000-47f4-a102-0a93351ba316</errorID>
      <errorWord>成</errorWord>
      <group>L1_Word</group>
      <groupName>字词问题</groupName>
      <ability>L2_Typo</ability>
      <abilityName>字词错误</abilityName>
      <candidateList>
        <item>成为</item>
      </candidateList>
      <explain>〈动〉变成：～先进工作者。</explain>
      <paraID>63B44849</paraID>
      <start>125</start>
      <end>126</end>
      <status>unmodified</status>
      <modifiedWord/>
      <trackRevisions>false</trackRevisions>
    </reviewItem>
    <reviewItem>
      <errorID>b072de0e-aaf5-4444-afd3-0b9633c760c5</errorID>
      <errorWord>且</errorWord>
      <group>L1_AI</group>
      <groupName>深度校对</groupName>
      <ability>L2_AI_Punc</ability>
      <abilityName>标点纠错</abilityName>
      <candidateList>
        <item>，且</item>
      </candidateList>
      <explain/>
      <paraID> 722D456</paraID>
      <start>46</start>
      <end>47</end>
      <status>unmodified</status>
      <modifiedWord/>
      <trackRevisions>false</trackRevisions>
    </reviewItem>
    <reviewItem>
      <errorID>a16389c6-7f58-469d-ada3-72c2f31011f9</errorID>
      <errorWord>甲方</errorWord>
      <group>L1_AI</group>
      <groupName>深度校对</groupName>
      <ability>L2_AI_Word</ability>
      <abilityName>字词纠错</abilityName>
      <candidateList>
        <item>在甲方</item>
      </candidateList>
      <explain/>
      <paraID> 722D456</paraID>
      <start>47</start>
      <end>49</end>
      <status>unmodified</status>
      <modifiedWord/>
      <trackRevisions>false</trackRevisions>
    </reviewItem>
    <reviewItem>
      <errorID>ce7fc3e1-78bb-4e1c-b361-33ce7ab19d6b</errorID>
      <errorWord>并</errorWord>
      <group>L1_AI</group>
      <groupName>深度校对</groupName>
      <ability>L2_AI_Word</ability>
      <abilityName>字词纠错</abilityName>
      <candidateList>
        <item>，</item>
      </candidateList>
      <explain/>
      <paraID> 722D456</paraID>
      <start>82</start>
      <end>83</end>
      <status>unmodified</status>
      <modifiedWord/>
      <trackRevisions>false</trackRevisions>
    </reviewItem>
    <reviewItem>
      <errorID>cc92d9c6-a146-4cd5-b232-af6d28b66bb5</errorID>
      <errorWord>且</errorWord>
      <group>L1_AI</group>
      <groupName>深度校对</groupName>
      <ability>L2_AI_Word</ability>
      <abilityName>字词纠错</abilityName>
      <candidateList>
        <item>，并</item>
      </candidateList>
      <explain/>
      <paraID> 722D456</paraID>
      <start>92</start>
      <end>93</end>
      <status>unmodified</status>
      <modifiedWord/>
      <trackRevisions>false</trackRevisions>
    </reviewItem>
    <reviewItem>
      <errorID>87269264-80bd-4452-afe8-cd1161c6da30</errorID>
      <errorWord> </errorWord>
      <group>L1_AI</group>
      <groupName>深度校对</groupName>
      <ability>L2_AI_Punc</ability>
      <abilityName>标点纠错</abilityName>
      <candidateList>
        <item/>
      </candidateList>
      <explain>此处空格冗余，建议删除。</explain>
      <paraID> 722D456</paraID>
      <start>169</start>
      <end>170</end>
      <status>unmodified</status>
      <modifiedWord/>
      <trackRevisions>false</trackRevisions>
    </reviewItem>
    <reviewItem>
      <errorID>f9e80045-efe8-465b-8b25-912ab3229140</errorID>
      <errorWord>交付的</errorWord>
      <group>L1_AI</group>
      <groupName>深度校对</groupName>
      <ability>L2_AI_Word</ability>
      <abilityName>字词纠错</abilityName>
      <candidateList>
        <item>交付</item>
      </candidateList>
      <explain/>
      <paraID> 722D456</paraID>
      <start>200</start>
      <end>203</end>
      <status>unmodified</status>
      <modifiedWord/>
      <trackRevisions>false</trackRevisions>
    </reviewItem>
    <reviewItem>
      <errorID>cfffdb58-530e-4d1b-9fdd-575e671a98df</errorID>
      <errorWord>，</errorWord>
      <group>L1_AI</group>
      <groupName>深度校对</groupName>
      <ability>L2_AI_Punc</ability>
      <abilityName>标点纠错</abilityName>
      <candidateList>
        <item>、</item>
      </candidateList>
      <explain/>
      <paraID>49B2BFB6</paraID>
      <start>21</start>
      <end>22</end>
      <status>unmodified</status>
      <modifiedWord/>
      <trackRevisions>false</trackRevisions>
    </reviewItem>
    <reviewItem>
      <errorID>3626a9ed-50b0-44dd-8757-08309c78becc</errorID>
      <errorWord>，</errorWord>
      <group>L1_AI</group>
      <groupName>深度校对</groupName>
      <ability>L2_AI_Punc</ability>
      <abilityName>标点纠错</abilityName>
      <candidateList>
        <item>、</item>
      </candidateList>
      <explain/>
      <paraID>49B2BFB6</paraID>
      <start>37</start>
      <end>38</end>
      <status>unmodified</status>
      <modifiedWord/>
      <trackRevisions>false</trackRevisions>
    </reviewItem>
    <reviewItem>
      <errorID>4c523c35-7191-4336-be3b-358dff9e65db</errorID>
      <errorWord>，</errorWord>
      <group>L1_AI</group>
      <groupName>深度校对</groupName>
      <ability>L2_AI_Punc</ability>
      <abilityName>标点纠错</abilityName>
      <candidateList>
        <item>、</item>
      </candidateList>
      <explain/>
      <paraID>49B2BFB6</paraID>
      <start>81</start>
      <end>82</end>
      <status>unmodified</status>
      <modifiedWord/>
      <trackRevisions>false</trackRevisions>
    </reviewItem>
    <reviewItem>
      <errorID>5d69437e-001d-48b5-ab3b-1a55f62e8623</errorID>
      <errorWord>，</errorWord>
      <group>L1_AI</group>
      <groupName>深度校对</groupName>
      <ability>L2_AI_Punc</ability>
      <abilityName>标点纠错</abilityName>
      <candidateList>
        <item>、</item>
      </candidateList>
      <explain/>
      <paraID>49B2BFB6</paraID>
      <start>85</start>
      <end>86</end>
      <status>unmodified</status>
      <modifiedWord/>
      <trackRevisions>false</trackRevisions>
    </reviewItem>
    <reviewItem>
      <errorID>43ceb4b7-8361-469a-b67e-7f09a5f28cef</errorID>
      <errorWord>或在</errorWord>
      <group>L1_AI</group>
      <groupName>深度校对</groupName>
      <ability>L2_AI_Word</ability>
      <abilityName>字词纠错</abilityName>
      <candidateList>
        <item>或</item>
      </candidateList>
      <explain/>
      <paraID>4AB19A73</paraID>
      <start>21</start>
      <end>23</end>
      <status>unmodified</status>
      <modifiedWord/>
      <trackRevisions>false</trackRevisions>
    </reviewItem>
    <reviewItem>
      <errorID>c1bef5fe-0414-4b86-87fb-b2e5b78852c3</errorID>
      <errorWord>高于</errorWord>
      <group>L1_AI</group>
      <groupName>深度校对</groupName>
      <ability>L2_AI_Grammar</ability>
      <abilityName>语法纠错</abilityName>
      <candidateList>
        <item>数量高于</item>
      </candidateList>
      <explain/>
      <paraID>4AB19A73</paraID>
      <start>39</start>
      <end>41</end>
      <status>unmodified</status>
      <modifiedWord/>
      <trackRevisions>false</trackRevisions>
    </reviewItem>
    <reviewItem>
      <errorID>064ffd31-5d68-4f10-b68b-3e292bc07b28</errorID>
      <errorWord>邀请为</errorWord>
      <group>L1_AI</group>
      <groupName>深度校对</groupName>
      <ability>L2_AI_Word</ability>
      <abilityName>字词纠错</abilityName>
      <candidateList>
        <item>邀请</item>
      </candidateList>
      <explain/>
      <paraID>4AB19A73</paraID>
      <start>45</start>
      <end>48</end>
      <status>unmodified</status>
      <modifiedWord/>
      <trackRevisions>false</trackRevisions>
    </reviewItem>
    <reviewItem>
      <errorID>eab78a98-37ba-479e-857a-6d8b0c759a63</errorID>
      <errorWord>需具备</errorWord>
      <group>L1_Word</group>
      <groupName>字词问题</groupName>
      <ability>L2_Typo</ability>
      <abilityName>字词错误</abilityName>
      <candidateList>
        <item>须具备</item>
      </candidateList>
      <explain/>
      <paraID>15A29931</paraID>
      <start>29</start>
      <end>32</end>
      <status>unmodified</status>
      <modifiedWord/>
      <trackRevisions>false</trackRevisions>
    </reviewItem>
    <reviewItem>
      <errorID>4a6ae9b3-ebc7-40c8-b7d5-22e9d8c6825a</errorID>
      <errorWord>小巨人企业</errorWord>
      <group>L1_Political</group>
      <groupName>政治性问题</groupName>
      <ability>L2_Keyword</ability>
      <abilityName>固定表述</abilityName>
      <candidateList>
        <item>“小巨人”企业</item>
      </candidateList>
      <explain>注意检查当前固定表述标点是否使用规范。</explain>
      <paraID>16D4A6CC</paraID>
      <start>75</start>
      <end>80</end>
      <status>unmodified</status>
      <modifiedWord/>
      <trackRevisions>false</trackRevisions>
    </reviewItem>
    <reviewItem>
      <errorID>7536f453-6cf7-466c-b7b2-aa34c161f23f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736F7555</paraID>
      <start>0</start>
      <end>2</end>
      <status>unmodified</status>
      <modifiedWord/>
      <trackRevisions>false</trackRevisions>
    </reviewItem>
    <reviewItem>
      <errorID>bc2cd432-ea5b-4e7d-ad09-070bac5b718f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21E81F1F</paraID>
      <start>0</start>
      <end>2</end>
      <status>unmodified</status>
      <modifiedWord/>
      <trackRevisions>false</trackRevisions>
    </reviewItem>
    <reviewItem>
      <errorID>1fb0079f-c22c-4e37-9ee9-d8d17cd36d4b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246BDD55</paraID>
      <start>0</start>
      <end>2</end>
      <status>unmodified</status>
      <modifiedWord/>
      <trackRevisions>false</trackRevisions>
    </reviewItem>
    <reviewItem>
      <errorID>42bd3a35-fddb-450a-8a04-bbc1c3030db2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ECC3AC9</paraID>
      <start>0</start>
      <end>2</end>
      <status>unmodified</status>
      <modifiedWord/>
      <trackRevisions>false</trackRevisions>
    </reviewItem>
    <reviewItem>
      <errorID>590d942c-120b-4bd2-92c9-0d02365b294e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E8367FA</paraID>
      <start>0</start>
      <end>2</end>
      <status>unmodified</status>
      <modifiedWord/>
      <trackRevisions>false</trackRevisions>
    </reviewItem>
    <reviewItem>
      <errorID>d9bb07aa-f48e-4946-b0b9-56659752053d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6E17FBE9</paraID>
      <start>0</start>
      <end>3</end>
      <status>unmodified</status>
      <modifiedWord/>
      <trackRevisions>false</trackRevisions>
    </reviewItem>
    <reviewItem>
      <errorID>df97c5c0-4158-46e3-a890-f7028498849e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79A1FCBC</paraID>
      <start>5</start>
      <end>6</end>
      <status>unmodified</status>
      <modifiedWord/>
      <trackRevisions>false</trackRevisions>
    </reviewItem>
    <reviewItem>
      <errorID>ece26743-2cd1-4a0d-a3cd-6d1da2850017</errorID>
      <errorWord>-</errorWord>
      <group>L1_Format</group>
      <groupName>格式问题</groupName>
      <ability>L2_HalfPunc</ability>
      <abilityName>全半角检查</abilityName>
      <candidateList>
        <item>－</item>
      </candidateList>
      <explain>文本全半角错误。</explain>
      <paraID> 974DA84</paraID>
      <start>130</start>
      <end>131</end>
      <status>unmodified</status>
      <modifiedWord/>
      <trackRevisions>false</trackRevisions>
    </reviewItem>
    <reviewItem>
      <errorID>9d04c948-a6fb-4fe0-b87a-20d319c9dde2</errorID>
      <errorWord>举办</errorWord>
      <group>L1_Grammar</group>
      <groupName>语法问题</groupName>
      <ability>L2_Grammar</ability>
      <abilityName>语法错误</abilityName>
      <candidateList>
        <item>参加</item>
      </candidateList>
      <explain>“举办～工作”搭配不当，建议修改为“参加～工作”。</explain>
      <paraID>3D613092</paraID>
      <start>36</start>
      <end>38</end>
      <status>unmodified</status>
      <modifiedWord/>
      <trackRevisions>false</trackRevisions>
    </reviewItem>
    <reviewItem>
      <errorID>196cc506-a638-426d-93db-ad391222d353</errorID>
      <errorWord>法律、法规</errorWord>
      <group>L1_Word</group>
      <groupName>字词问题</groupName>
      <ability>L2_Typo</ability>
      <abilityName>字词错误</abilityName>
      <candidateList>
        <item>法律法规</item>
      </candidateList>
      <explain/>
      <paraID> 52D5DEE</paraID>
      <start>10</start>
      <end>15</end>
      <status>unmodified</status>
      <modifiedWord/>
      <trackRevisions>false</trackRevisions>
    </reviewItem>
    <reviewItem>
      <errorID>0619a42d-6e27-40b4-aae2-52085486def7</errorID>
      <errorWord>法律、法规</errorWord>
      <group>L1_Word</group>
      <groupName>字词问题</groupName>
      <ability>L2_Typo</ability>
      <abilityName>字词错误</abilityName>
      <candidateList>
        <item>法律法规</item>
      </candidateList>
      <explain/>
      <paraID> 2B0BD85</paraID>
      <start>2</start>
      <end>7</end>
      <status>unmodified</status>
      <modifiedWord/>
      <trackRevisions>false</trackRevisions>
    </reviewItem>
    <reviewItem>
      <errorID>cf0bb81a-4bc1-460c-aa78-0014e22eac4f</errorID>
      <errorWord>期</errorWord>
      <group>L1_Word</group>
      <groupName>字词问题</groupName>
      <ability>L2_Typo</ability>
      <abilityName>字词错误</abilityName>
      <candidateList>
        <item>期限</item>
      </candidateList>
      <explain/>
      <paraID>68E4F1D4</paraID>
      <start>28</start>
      <end>31</end>
      <status>modified</status>
      <modifiedWord>期限</modifiedWord>
      <trackRevisions>true</trackRevisions>
    </reviewItem>
    <reviewItem>
      <errorID>825e22c2-16a7-4e89-8c78-cb827c91c823</errorID>
      <errorWord>法律、法规</errorWord>
      <group>L1_Word</group>
      <groupName>字词问题</groupName>
      <ability>L2_Typo</ability>
      <abilityName>字词错误</abilityName>
      <candidateList>
        <item>法律法规</item>
      </candidateList>
      <explain/>
      <paraID>2977F276</paraID>
      <start>2</start>
      <end>7</end>
      <status>unmodified</status>
      <modifiedWord/>
      <trackRevisions>false</trackRevisions>
    </reviewItem>
    <reviewItem>
      <errorID>45218541-683e-40d5-b67e-8464b5d57282</errorID>
      <errorWord>(</errorWord>
      <group>L1_Format</group>
      <groupName>格式问题</groupName>
      <ability>L2_HalfPunc</ability>
      <abilityName>全半角检查</abilityName>
      <candidateList>
        <item>（</item>
      </candidateList>
      <explain>文本全半角错误。</explain>
      <paraID>57D13F00</paraID>
      <start>87</start>
      <end>89</end>
      <status>modified</status>
      <modifiedWord>（</modifiedWord>
      <trackRevisions>true</trackRevisions>
    </reviewItem>
    <reviewItem>
      <errorID>4bdabd20-38f6-45c3-866f-8ce41f413df8</errorID>
      <errorWord>)</errorWord>
      <group>L1_Format</group>
      <groupName>格式问题</groupName>
      <ability>L2_HalfPunc</ability>
      <abilityName>全半角检查</abilityName>
      <candidateList>
        <item>）</item>
      </candidateList>
      <explain>文本全半角错误。</explain>
      <paraID>57D13F00</paraID>
      <start>132</start>
      <end>134</end>
      <status>modified</status>
      <modifiedWord>）</modifiedWord>
      <trackRevisions>true</trackRevisions>
    </reviewItem>
    <reviewItem>
      <errorID>0766898a-624e-4d52-b142-7ae922ecfa70</errorID>
      <errorWord>预期交付</errorWord>
      <group>L1_Word</group>
      <groupName>字词问题</groupName>
      <ability>L2_Typo</ability>
      <abilityName>字词错误</abilityName>
      <candidateList>
        <item>逾期交付</item>
      </candidateList>
      <explain/>
      <paraID>7F0069C8</paraID>
      <start>109</start>
      <end>113</end>
      <status>unmodified</status>
      <modifiedWord/>
      <trackRevisions>false</trackRevisions>
    </reviewItem>
    <reviewItem>
      <errorID>ff47b1be-f718-41ad-992d-d9e5fbc59ff6</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79458CCA</paraID>
      <start>47</start>
      <end>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6a76d-99a6-4ebc-8ced-f0e239dc383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8414</Words>
  <Characters>8646</Characters>
  <Lines>230</Lines>
  <Paragraphs>226</Paragraphs>
  <TotalTime>64</TotalTime>
  <ScaleCrop>false</ScaleCrop>
  <LinksUpToDate>false</LinksUpToDate>
  <CharactersWithSpaces>8749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2024-12-25T02:54:00Z</dcterms:created>
  <dc:creator>暖风、</dc:creator>
  <cp:lastModifiedBy>shiqu</cp:lastModifiedBy>
  <cp:lastPrinted>2024-05-02T17:34:00Z</cp:lastPrinted>
  <dcterms:modified xsi:type="dcterms:W3CDTF">2026-02-09T12:18:27Z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7D18DAB6B32543B58EA4DD28A89A54F4_13</vt:lpwstr>
  </property>
  <property fmtid="{D5CDD505-2E9C-101B-9397-08002B2CF9AE}" pid="4" name="KSOTemplateDocerSaveRecord">
    <vt:lpwstr>eyJoZGlkIjoiNGYzODczZWQ1YjhkYzRkM2YwYmI0YjEwM2U5NjUwMmUiLCJ1c2VySWQiOiI5MjczMTgzNDYifQ==</vt:lpwstr>
  </property>
</Properties>
</file>