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F945C">
      <w:pPr>
        <w:pStyle w:val="2"/>
        <w:bidi w:val="0"/>
        <w:ind w:firstLine="5783" w:firstLineChars="1800"/>
        <w:rPr>
          <w:rFonts w:hint="eastAsia"/>
        </w:rPr>
      </w:pPr>
      <w:bookmarkStart w:id="0" w:name="_Hlk73006741"/>
      <w:r>
        <w:rPr>
          <w:rFonts w:hint="eastAsia" w:ascii="仿宋_GB2312" w:hAnsi="仿宋_GB2312" w:eastAsia="仿宋_GB2312" w:cs="仿宋_GB2312"/>
          <w:sz w:val="32"/>
          <w:szCs w:val="32"/>
          <w:lang w:val="en-US" w:eastAsia="zh-CN"/>
        </w:rPr>
        <w:t>合同编号：</w:t>
      </w:r>
      <w:permStart w:id="0" w:edGrp="everyone"/>
      <w:r>
        <w:rPr>
          <w:rFonts w:hint="eastAsia" w:ascii="仿宋_GB2312" w:hAnsi="仿宋_GB2312" w:eastAsia="仿宋_GB2312" w:cs="仿宋_GB2312"/>
          <w:sz w:val="32"/>
          <w:szCs w:val="32"/>
          <w:lang w:val="en-US" w:eastAsia="zh-CN"/>
        </w:rPr>
        <w:t xml:space="preserve">      </w:t>
      </w:r>
      <w:permEnd w:id="0"/>
      <w:r>
        <w:rPr>
          <w:rFonts w:hint="eastAsia" w:ascii="仿宋_GB2312" w:hAnsi="仿宋_GB2312" w:eastAsia="仿宋_GB2312" w:cs="仿宋_GB2312"/>
          <w:sz w:val="32"/>
          <w:szCs w:val="32"/>
        </w:rPr>
        <w:t xml:space="preserve"> </w:t>
      </w:r>
      <w:r>
        <w:rPr>
          <w:rFonts w:hint="eastAsia"/>
        </w:rPr>
        <w:t xml:space="preserve">     </w:t>
      </w:r>
    </w:p>
    <w:p w14:paraId="3CA38436">
      <w:pPr>
        <w:ind w:firstLine="560"/>
        <w:rPr>
          <w:rFonts w:hint="eastAsia" w:ascii="仿宋" w:hAnsi="仿宋" w:eastAsia="仿宋" w:cs="仿宋"/>
          <w:sz w:val="28"/>
        </w:rPr>
      </w:pPr>
    </w:p>
    <w:p w14:paraId="2153DF8D">
      <w:pPr>
        <w:ind w:firstLine="1440"/>
        <w:jc w:val="center"/>
        <w:rPr>
          <w:rFonts w:hint="eastAsia" w:ascii="仿宋" w:hAnsi="仿宋" w:eastAsia="仿宋" w:cs="仿宋"/>
          <w:sz w:val="72"/>
          <w:szCs w:val="72"/>
        </w:rPr>
      </w:pPr>
    </w:p>
    <w:p w14:paraId="45FFDEB7">
      <w:pPr>
        <w:ind w:firstLine="235" w:firstLineChars="45"/>
        <w:jc w:val="center"/>
        <w:rPr>
          <w:rFonts w:hint="eastAsia" w:ascii="仿宋" w:hAnsi="仿宋" w:eastAsia="仿宋" w:cs="仿宋"/>
          <w:b/>
          <w:bCs/>
          <w:sz w:val="52"/>
          <w:szCs w:val="52"/>
        </w:rPr>
      </w:pPr>
      <w:r>
        <w:rPr>
          <w:rFonts w:hint="eastAsia" w:ascii="仿宋" w:hAnsi="仿宋" w:eastAsia="仿宋" w:cs="仿宋"/>
          <w:b/>
          <w:bCs/>
          <w:sz w:val="52"/>
          <w:szCs w:val="52"/>
        </w:rPr>
        <w:t>基坑监测</w:t>
      </w:r>
      <w:permStart w:id="1" w:edGrp="everyone"/>
      <w:r>
        <w:rPr>
          <w:rFonts w:hint="eastAsia" w:ascii="仿宋" w:hAnsi="仿宋" w:eastAsia="仿宋" w:cs="仿宋"/>
          <w:b/>
          <w:bCs/>
          <w:sz w:val="52"/>
          <w:szCs w:val="52"/>
        </w:rPr>
        <w:t>及主体沉降观测</w:t>
      </w:r>
      <w:permEnd w:id="1"/>
      <w:r>
        <w:rPr>
          <w:rFonts w:hint="eastAsia" w:ascii="仿宋" w:hAnsi="仿宋" w:eastAsia="仿宋" w:cs="仿宋"/>
          <w:b/>
          <w:bCs/>
          <w:sz w:val="52"/>
          <w:szCs w:val="52"/>
        </w:rPr>
        <w:t>技术服务合同</w:t>
      </w:r>
    </w:p>
    <w:p w14:paraId="322399BB">
      <w:pPr>
        <w:ind w:firstLine="560"/>
        <w:rPr>
          <w:rFonts w:hint="eastAsia" w:ascii="仿宋" w:hAnsi="仿宋" w:eastAsia="仿宋" w:cs="仿宋"/>
          <w:sz w:val="28"/>
          <w:szCs w:val="28"/>
        </w:rPr>
      </w:pPr>
    </w:p>
    <w:p w14:paraId="5AD5B50C">
      <w:pPr>
        <w:rPr>
          <w:rFonts w:hint="eastAsia" w:ascii="仿宋" w:hAnsi="仿宋" w:eastAsia="仿宋" w:cs="仿宋"/>
          <w:sz w:val="24"/>
          <w:szCs w:val="28"/>
        </w:rPr>
      </w:pPr>
    </w:p>
    <w:p w14:paraId="4BD9287B">
      <w:pPr>
        <w:rPr>
          <w:rFonts w:hint="eastAsia" w:ascii="仿宋" w:hAnsi="仿宋" w:eastAsia="仿宋" w:cs="仿宋"/>
          <w:sz w:val="24"/>
          <w:szCs w:val="28"/>
        </w:rPr>
      </w:pPr>
    </w:p>
    <w:p w14:paraId="2E3A2551">
      <w:pPr>
        <w:rPr>
          <w:rFonts w:hint="eastAsia" w:ascii="仿宋" w:hAnsi="仿宋" w:eastAsia="仿宋" w:cs="仿宋"/>
          <w:sz w:val="24"/>
          <w:szCs w:val="28"/>
        </w:rPr>
      </w:pPr>
    </w:p>
    <w:p w14:paraId="6250FC13">
      <w:pPr>
        <w:rPr>
          <w:rFonts w:hint="eastAsia" w:ascii="仿宋" w:hAnsi="仿宋" w:eastAsia="仿宋" w:cs="仿宋"/>
          <w:sz w:val="24"/>
          <w:szCs w:val="28"/>
        </w:rPr>
      </w:pPr>
    </w:p>
    <w:p w14:paraId="41A62FBE">
      <w:pPr>
        <w:rPr>
          <w:rFonts w:hint="eastAsia" w:ascii="仿宋" w:hAnsi="仿宋" w:eastAsia="仿宋" w:cs="仿宋"/>
          <w:sz w:val="24"/>
          <w:szCs w:val="28"/>
        </w:rPr>
      </w:pPr>
    </w:p>
    <w:p w14:paraId="26CA9192">
      <w:pPr>
        <w:ind w:firstLine="480"/>
        <w:rPr>
          <w:rFonts w:hint="eastAsia" w:ascii="仿宋" w:hAnsi="仿宋" w:eastAsia="仿宋" w:cs="仿宋"/>
          <w:sz w:val="24"/>
          <w:szCs w:val="28"/>
        </w:rPr>
      </w:pPr>
    </w:p>
    <w:p w14:paraId="02C7EEDD">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工程名称:</w:t>
      </w:r>
      <w:permStart w:id="2" w:edGrp="everyone"/>
      <w:r>
        <w:rPr>
          <w:rFonts w:hint="eastAsia" w:ascii="仿宋" w:hAnsi="仿宋" w:eastAsia="仿宋" w:cs="仿宋"/>
          <w:i w:val="0"/>
          <w:iCs w:val="0"/>
          <w:caps w:val="0"/>
          <w:color w:val="333333"/>
          <w:spacing w:val="0"/>
          <w:sz w:val="32"/>
          <w:szCs w:val="32"/>
          <w:shd w:val="clear" w:fill="FFFFFF"/>
        </w:rPr>
        <w:t>海口市江东新区JDWH-01-A07-02地块项目</w:t>
      </w:r>
      <w:r>
        <w:rPr>
          <w:rFonts w:hint="eastAsia" w:ascii="仿宋" w:hAnsi="仿宋" w:eastAsia="仿宋" w:cs="仿宋"/>
          <w:b/>
          <w:bCs/>
          <w:sz w:val="32"/>
          <w:szCs w:val="32"/>
        </w:rPr>
        <w:t xml:space="preserve"> </w:t>
      </w:r>
      <w:permEnd w:id="2"/>
    </w:p>
    <w:p w14:paraId="4E257D81">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3" w:edGrp="everyone"/>
      <w:r>
        <w:rPr>
          <w:rFonts w:hint="eastAsia" w:ascii="仿宋" w:hAnsi="仿宋" w:eastAsia="仿宋" w:cs="仿宋"/>
          <w:i w:val="0"/>
          <w:iCs w:val="0"/>
          <w:caps w:val="0"/>
          <w:color w:val="333333"/>
          <w:spacing w:val="0"/>
          <w:sz w:val="32"/>
          <w:szCs w:val="32"/>
          <w:shd w:val="clear" w:fill="FFFFFF"/>
          <w:lang w:val="en-US" w:eastAsia="zh-CN"/>
        </w:rPr>
        <w:t>海口市君实综合开发有限责任公司</w:t>
      </w:r>
      <w:r>
        <w:rPr>
          <w:rFonts w:hint="eastAsia" w:ascii="宋体" w:hAnsi="宋体" w:eastAsia="宋体" w:cs="宋体"/>
          <w:szCs w:val="28"/>
          <w:lang w:val="en-US" w:eastAsia="zh-CN" w:bidi="ar"/>
        </w:rPr>
        <w:t xml:space="preserve"> </w:t>
      </w:r>
      <w:permEnd w:id="3"/>
      <w:r>
        <w:rPr>
          <w:rFonts w:hint="eastAsia" w:ascii="仿宋" w:hAnsi="仿宋" w:eastAsia="仿宋" w:cs="仿宋"/>
          <w:b/>
          <w:bCs/>
          <w:sz w:val="32"/>
          <w:szCs w:val="32"/>
        </w:rPr>
        <w:t xml:space="preserve"> </w:t>
      </w:r>
    </w:p>
    <w:p w14:paraId="08C04C82">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受 托 人:</w:t>
      </w:r>
      <w:permStart w:id="4" w:edGrp="everyone"/>
      <w:r>
        <w:rPr>
          <w:rFonts w:hint="eastAsia" w:ascii="仿宋" w:hAnsi="仿宋" w:eastAsia="仿宋" w:cs="仿宋"/>
          <w:sz w:val="32"/>
          <w:szCs w:val="32"/>
          <w:lang w:val="en-US" w:eastAsia="zh-CN" w:bidi="ar"/>
        </w:rPr>
        <w:t xml:space="preserve">                           </w:t>
      </w:r>
      <w:permEnd w:id="4"/>
      <w:r>
        <w:rPr>
          <w:rFonts w:hint="eastAsia" w:ascii="仿宋" w:hAnsi="仿宋" w:eastAsia="仿宋" w:cs="仿宋"/>
          <w:b/>
          <w:bCs/>
          <w:sz w:val="32"/>
          <w:szCs w:val="32"/>
        </w:rPr>
        <w:t xml:space="preserve"> </w:t>
      </w:r>
    </w:p>
    <w:p w14:paraId="1A27F743">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工程地点:</w:t>
      </w:r>
      <w:r>
        <w:rPr>
          <w:rFonts w:hint="eastAsia" w:ascii="仿宋" w:hAnsi="仿宋" w:eastAsia="仿宋" w:cs="仿宋"/>
          <w:b/>
          <w:bCs/>
          <w:sz w:val="32"/>
          <w:szCs w:val="32"/>
          <w:lang w:val="en-US" w:eastAsia="zh-CN"/>
        </w:rPr>
        <w:t>海南省海口市美兰区</w:t>
      </w:r>
      <w:r>
        <w:rPr>
          <w:rFonts w:hint="eastAsia" w:ascii="仿宋" w:hAnsi="仿宋" w:eastAsia="仿宋" w:cs="仿宋"/>
          <w:b/>
          <w:bCs/>
          <w:sz w:val="32"/>
          <w:szCs w:val="32"/>
        </w:rPr>
        <w:t xml:space="preserve">                  </w:t>
      </w:r>
    </w:p>
    <w:p w14:paraId="1B2116CE">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sz w:val="28"/>
          <w:szCs w:val="28"/>
        </w:rPr>
      </w:pPr>
      <w:r>
        <w:rPr>
          <w:rFonts w:hint="eastAsia" w:ascii="仿宋" w:hAnsi="仿宋" w:eastAsia="仿宋" w:cs="仿宋"/>
          <w:b/>
          <w:bCs/>
          <w:sz w:val="32"/>
          <w:szCs w:val="32"/>
        </w:rPr>
        <w:t>签</w:t>
      </w:r>
      <w:r>
        <w:rPr>
          <w:rFonts w:hint="eastAsia" w:ascii="仿宋" w:hAnsi="仿宋" w:eastAsia="仿宋" w:cs="仿宋"/>
          <w:b/>
          <w:bCs/>
          <w:sz w:val="32"/>
          <w:szCs w:val="32"/>
          <w:lang w:val="en-US" w:eastAsia="zh-CN"/>
        </w:rPr>
        <w:t>订</w:t>
      </w:r>
      <w:r>
        <w:rPr>
          <w:rFonts w:hint="eastAsia" w:ascii="仿宋" w:hAnsi="仿宋" w:eastAsia="仿宋" w:cs="仿宋"/>
          <w:b/>
          <w:bCs/>
          <w:sz w:val="32"/>
          <w:szCs w:val="32"/>
        </w:rPr>
        <w:t>日期:</w:t>
      </w:r>
      <w:permStart w:id="5" w:edGrp="everyone"/>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permEnd w:id="5"/>
      <w:r>
        <w:rPr>
          <w:rFonts w:hint="eastAsia" w:ascii="仿宋" w:hAnsi="仿宋" w:eastAsia="仿宋" w:cs="仿宋"/>
          <w:b/>
          <w:bCs/>
          <w:sz w:val="32"/>
          <w:szCs w:val="32"/>
        </w:rPr>
        <w:t>年</w:t>
      </w:r>
      <w:permStart w:id="6" w:edGrp="everyone"/>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permEnd w:id="6"/>
      <w:r>
        <w:rPr>
          <w:rFonts w:hint="eastAsia" w:ascii="仿宋" w:hAnsi="仿宋" w:eastAsia="仿宋" w:cs="仿宋"/>
          <w:b/>
          <w:bCs/>
          <w:sz w:val="32"/>
          <w:szCs w:val="32"/>
        </w:rPr>
        <w:t>月</w:t>
      </w:r>
      <w:permStart w:id="7" w:edGrp="everyone"/>
      <w:r>
        <w:rPr>
          <w:rFonts w:hint="eastAsia" w:ascii="仿宋" w:hAnsi="仿宋" w:eastAsia="仿宋" w:cs="仿宋"/>
          <w:b/>
          <w:bCs/>
          <w:sz w:val="32"/>
          <w:szCs w:val="32"/>
        </w:rPr>
        <w:t xml:space="preserve">     </w:t>
      </w:r>
      <w:permEnd w:id="7"/>
      <w:r>
        <w:rPr>
          <w:rFonts w:hint="eastAsia" w:ascii="仿宋" w:hAnsi="仿宋" w:eastAsia="仿宋" w:cs="仿宋"/>
          <w:b/>
          <w:bCs/>
          <w:sz w:val="32"/>
          <w:szCs w:val="32"/>
        </w:rPr>
        <w:t xml:space="preserve">日    </w:t>
      </w:r>
      <w:r>
        <w:rPr>
          <w:rFonts w:hint="eastAsia" w:ascii="仿宋" w:hAnsi="仿宋" w:eastAsia="仿宋" w:cs="仿宋"/>
          <w:sz w:val="32"/>
          <w:szCs w:val="32"/>
        </w:rPr>
        <w:t xml:space="preserve">  </w:t>
      </w:r>
      <w:r>
        <w:rPr>
          <w:rFonts w:hint="eastAsia" w:ascii="仿宋" w:hAnsi="仿宋" w:eastAsia="仿宋" w:cs="仿宋"/>
          <w:sz w:val="28"/>
          <w:szCs w:val="28"/>
        </w:rPr>
        <w:t xml:space="preserve">   </w:t>
      </w:r>
    </w:p>
    <w:p w14:paraId="43A15ECF">
      <w:pPr>
        <w:ind w:firstLine="560"/>
        <w:rPr>
          <w:rFonts w:hint="eastAsia" w:ascii="仿宋" w:hAnsi="仿宋" w:eastAsia="仿宋" w:cs="仿宋"/>
          <w:sz w:val="28"/>
          <w:szCs w:val="28"/>
        </w:rPr>
      </w:pPr>
    </w:p>
    <w:p w14:paraId="6AE343C7">
      <w:pPr>
        <w:widowControl/>
        <w:jc w:val="left"/>
        <w:rPr>
          <w:rFonts w:hint="eastAsia" w:ascii="仿宋" w:hAnsi="仿宋" w:eastAsia="仿宋" w:cs="仿宋"/>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14:paraId="4F66A0B9">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委托人(以下称甲方)：</w:t>
      </w:r>
      <w:permStart w:id="8" w:edGrp="everyone"/>
      <w:r>
        <w:rPr>
          <w:rFonts w:hint="eastAsia" w:ascii="仿宋" w:hAnsi="仿宋" w:eastAsia="仿宋" w:cs="仿宋"/>
          <w:sz w:val="28"/>
          <w:szCs w:val="28"/>
          <w:lang w:val="en-US" w:eastAsia="zh-CN"/>
        </w:rPr>
        <w:t xml:space="preserve">                           </w:t>
      </w:r>
      <w:permEnd w:id="8"/>
    </w:p>
    <w:p w14:paraId="66CFD73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9"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ermEnd w:id="9"/>
    </w:p>
    <w:p w14:paraId="1DAB2B3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法定代表人：</w:t>
      </w:r>
      <w:permStart w:id="10"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bidi="ar"/>
        </w:rPr>
        <w:t xml:space="preserve">   </w:t>
      </w:r>
      <w:r>
        <w:rPr>
          <w:rFonts w:hint="eastAsia" w:ascii="宋体" w:hAnsi="宋体" w:eastAsia="宋体" w:cs="宋体"/>
          <w:sz w:val="28"/>
          <w:szCs w:val="28"/>
          <w:lang w:val="en-US" w:eastAsia="zh-CN" w:bidi="ar"/>
        </w:rPr>
        <w:t xml:space="preserve"> </w:t>
      </w:r>
      <w:permEnd w:id="10"/>
      <w:r>
        <w:rPr>
          <w:rFonts w:hint="eastAsia" w:ascii="仿宋" w:hAnsi="仿宋" w:eastAsia="仿宋" w:cs="仿宋"/>
          <w:sz w:val="28"/>
          <w:szCs w:val="28"/>
        </w:rPr>
        <w:t xml:space="preserve"> </w:t>
      </w:r>
    </w:p>
    <w:p w14:paraId="0454D26C">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受托人(以下称乙方)：</w:t>
      </w:r>
      <w:permStart w:id="11"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11"/>
    </w:p>
    <w:p w14:paraId="470285CF">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12"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12"/>
    </w:p>
    <w:p w14:paraId="3D0E8BA7">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u w:val="single"/>
        </w:rPr>
      </w:pPr>
      <w:r>
        <w:rPr>
          <w:rFonts w:hint="eastAsia" w:ascii="仿宋" w:hAnsi="仿宋" w:eastAsia="仿宋" w:cs="仿宋"/>
          <w:sz w:val="28"/>
          <w:szCs w:val="28"/>
        </w:rPr>
        <w:t xml:space="preserve">法定代表人： </w:t>
      </w:r>
      <w:permStart w:id="13"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13"/>
    </w:p>
    <w:p w14:paraId="5028E039">
      <w:pPr>
        <w:keepNext w:val="0"/>
        <w:keepLines w:val="0"/>
        <w:pageBreakBefore w:val="0"/>
        <w:kinsoku/>
        <w:wordWrap/>
        <w:overflowPunct/>
        <w:topLinePunct w:val="0"/>
        <w:autoSpaceDE/>
        <w:autoSpaceDN/>
        <w:bidi w:val="0"/>
        <w:snapToGrid/>
        <w:spacing w:line="360" w:lineRule="auto"/>
        <w:ind w:firstLine="534" w:firstLineChars="191"/>
        <w:rPr>
          <w:rFonts w:hint="eastAsia" w:ascii="仿宋" w:hAnsi="仿宋" w:eastAsia="仿宋" w:cs="仿宋"/>
          <w:sz w:val="28"/>
          <w:szCs w:val="28"/>
        </w:rPr>
      </w:pPr>
      <w:r>
        <w:rPr>
          <w:rFonts w:hint="eastAsia" w:ascii="仿宋" w:hAnsi="仿宋" w:eastAsia="仿宋" w:cs="仿宋"/>
          <w:sz w:val="28"/>
          <w:szCs w:val="28"/>
        </w:rPr>
        <w:t>根据《中华人民共和国民法典》及有关法律法规，甲方委托乙方承担</w:t>
      </w:r>
      <w:permStart w:id="14" w:edGrp="everyone"/>
      <w:r>
        <w:rPr>
          <w:rFonts w:hint="eastAsia" w:ascii="仿宋" w:hAnsi="仿宋" w:eastAsia="仿宋" w:cs="仿宋"/>
          <w:sz w:val="28"/>
          <w:szCs w:val="28"/>
        </w:rPr>
        <w:t>海口市江东新区JDWH-01-A07-02地块项目</w:t>
      </w:r>
      <w:permEnd w:id="14"/>
      <w:r>
        <w:rPr>
          <w:rFonts w:hint="eastAsia" w:ascii="仿宋" w:hAnsi="仿宋" w:eastAsia="仿宋" w:cs="仿宋"/>
          <w:sz w:val="28"/>
          <w:szCs w:val="28"/>
        </w:rPr>
        <w:t>的</w:t>
      </w:r>
      <w:permStart w:id="15" w:edGrp="everyone"/>
      <w:r>
        <w:rPr>
          <w:rFonts w:hint="eastAsia" w:ascii="仿宋" w:hAnsi="仿宋" w:eastAsia="仿宋" w:cs="仿宋"/>
          <w:sz w:val="28"/>
          <w:szCs w:val="28"/>
          <w:u w:val="none"/>
        </w:rPr>
        <w:t>基坑监测及主体沉降观测</w:t>
      </w:r>
      <w:r>
        <w:rPr>
          <w:rFonts w:hint="eastAsia" w:ascii="仿宋" w:hAnsi="仿宋" w:eastAsia="仿宋" w:cs="仿宋"/>
          <w:sz w:val="28"/>
          <w:szCs w:val="28"/>
          <w:u w:val="none"/>
          <w:lang w:val="en-US" w:eastAsia="zh-CN"/>
        </w:rPr>
        <w:t>工程</w:t>
      </w:r>
      <w:permEnd w:id="15"/>
      <w:r>
        <w:rPr>
          <w:rFonts w:hint="eastAsia" w:ascii="仿宋" w:hAnsi="仿宋" w:eastAsia="仿宋" w:cs="仿宋"/>
          <w:sz w:val="28"/>
          <w:szCs w:val="28"/>
        </w:rPr>
        <w:t>工作，经甲、乙双方协商一致签订本合同。</w:t>
      </w:r>
    </w:p>
    <w:p w14:paraId="00B3F0D9">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第一条 工程概况</w:t>
      </w:r>
    </w:p>
    <w:p w14:paraId="5F938343">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1.1 工程名称：</w:t>
      </w:r>
      <w:permStart w:id="16" w:edGrp="everyone"/>
      <w:r>
        <w:rPr>
          <w:rFonts w:hint="eastAsia" w:ascii="仿宋" w:hAnsi="仿宋" w:eastAsia="仿宋" w:cs="仿宋"/>
          <w:sz w:val="28"/>
          <w:szCs w:val="28"/>
        </w:rPr>
        <w:t>海口市江东新区JDWH-01-A07-02地块项目</w:t>
      </w:r>
      <w:permEnd w:id="16"/>
      <w:r>
        <w:rPr>
          <w:rFonts w:hint="eastAsia" w:ascii="仿宋" w:hAnsi="仿宋" w:eastAsia="仿宋" w:cs="仿宋"/>
          <w:sz w:val="28"/>
          <w:szCs w:val="28"/>
        </w:rPr>
        <w:t xml:space="preserve"> </w:t>
      </w:r>
    </w:p>
    <w:p w14:paraId="398C067D">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 工程概况：</w:t>
      </w:r>
      <w:permStart w:id="17" w:edGrp="everyone"/>
      <w:r>
        <w:rPr>
          <w:rFonts w:hint="eastAsia" w:ascii="仿宋" w:hAnsi="仿宋" w:eastAsia="仿宋" w:cs="仿宋"/>
          <w:sz w:val="28"/>
          <w:szCs w:val="28"/>
          <w:lang w:val="en-US" w:eastAsia="zh-CN"/>
        </w:rPr>
        <w:t>项目位于海口江东新区东营西路北侧，东营环路西侧，南航海岸项目北侧，皇冠温泉海岸南侧。项目总用地面积约98亩，总建筑面积约15.4万㎡，其中地上建筑面积约10.6万㎡，地下建筑面积约4.8万㎡。项目规划建设7栋9层洋房、11栋11层洋房、12栋叠墅，地块内配建一所6班幼儿园及一栋配套用房。</w:t>
      </w:r>
      <w:r>
        <w:rPr>
          <w:rFonts w:hint="eastAsia" w:ascii="仿宋" w:hAnsi="仿宋" w:eastAsia="仿宋" w:cs="仿宋"/>
          <w:sz w:val="28"/>
          <w:szCs w:val="28"/>
        </w:rPr>
        <w:t xml:space="preserve"> </w:t>
      </w:r>
      <w:permEnd w:id="17"/>
      <w:r>
        <w:rPr>
          <w:rFonts w:hint="eastAsia" w:ascii="仿宋" w:hAnsi="仿宋" w:eastAsia="仿宋" w:cs="仿宋"/>
          <w:sz w:val="28"/>
          <w:szCs w:val="28"/>
        </w:rPr>
        <w:t xml:space="preserve"> </w:t>
      </w:r>
    </w:p>
    <w:p w14:paraId="3AE98298">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bCs/>
          <w:sz w:val="28"/>
          <w:szCs w:val="28"/>
        </w:rPr>
      </w:pPr>
      <w:r>
        <w:rPr>
          <w:rFonts w:hint="eastAsia" w:ascii="仿宋" w:hAnsi="仿宋" w:eastAsia="仿宋" w:cs="仿宋"/>
          <w:b/>
          <w:bCs/>
          <w:sz w:val="28"/>
          <w:szCs w:val="28"/>
        </w:rPr>
        <w:t>第二条 监测范围</w:t>
      </w:r>
    </w:p>
    <w:p w14:paraId="1CB641AF">
      <w:pPr>
        <w:keepNext w:val="0"/>
        <w:keepLines w:val="0"/>
        <w:pageBreakBefore w:val="0"/>
        <w:kinsoku/>
        <w:wordWrap/>
        <w:overflowPunct/>
        <w:topLinePunct w:val="0"/>
        <w:autoSpaceDE/>
        <w:autoSpaceDN/>
        <w:bidi w:val="0"/>
        <w:snapToGrid/>
        <w:spacing w:line="360" w:lineRule="auto"/>
        <w:ind w:firstLine="560" w:firstLineChars="200"/>
        <w:rPr>
          <w:rFonts w:hint="eastAsia" w:ascii="仿宋" w:hAnsi="仿宋" w:eastAsia="仿宋" w:cs="仿宋"/>
          <w:b/>
          <w:sz w:val="28"/>
          <w:szCs w:val="28"/>
        </w:rPr>
      </w:pPr>
      <w:permStart w:id="18" w:edGrp="everyone"/>
      <w:r>
        <w:rPr>
          <w:rFonts w:hint="eastAsia" w:ascii="仿宋" w:hAnsi="仿宋" w:eastAsia="仿宋" w:cs="仿宋"/>
          <w:sz w:val="28"/>
          <w:szCs w:val="28"/>
        </w:rPr>
        <w:t>具体详见图纸及本招标任务书的全部内容。</w:t>
      </w:r>
    </w:p>
    <w:permEnd w:id="18"/>
    <w:p w14:paraId="38610DCF">
      <w:pPr>
        <w:keepNext w:val="0"/>
        <w:keepLines w:val="0"/>
        <w:pageBreakBefore w:val="0"/>
        <w:kinsoku/>
        <w:wordWrap/>
        <w:overflowPunct/>
        <w:topLinePunct w:val="0"/>
        <w:autoSpaceDE/>
        <w:autoSpaceDN/>
        <w:bidi w:val="0"/>
        <w:snapToGrid/>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第三条 工作要求</w:t>
      </w:r>
    </w:p>
    <w:p w14:paraId="27C8BFCB">
      <w:pPr>
        <w:keepNext w:val="0"/>
        <w:keepLines w:val="0"/>
        <w:pageBreakBefore w:val="0"/>
        <w:kinsoku/>
        <w:wordWrap/>
        <w:overflowPunct/>
        <w:topLinePunct w:val="0"/>
        <w:autoSpaceDE/>
        <w:autoSpaceDN/>
        <w:bidi w:val="0"/>
        <w:snapToGrid/>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3.1作业技术要求</w:t>
      </w:r>
    </w:p>
    <w:p w14:paraId="6DE298F0">
      <w:pPr>
        <w:pStyle w:val="8"/>
        <w:keepNext w:val="0"/>
        <w:keepLines w:val="0"/>
        <w:pageBreakBefore w:val="0"/>
        <w:kinsoku/>
        <w:wordWrap/>
        <w:overflowPunct/>
        <w:topLinePunct w:val="0"/>
        <w:autoSpaceDE/>
        <w:autoSpaceDN/>
        <w:bidi w:val="0"/>
        <w:snapToGrid/>
        <w:spacing w:after="0" w:line="360" w:lineRule="auto"/>
        <w:ind w:left="0" w:leftChars="0" w:firstLine="480"/>
        <w:rPr>
          <w:rFonts w:hint="eastAsia" w:ascii="仿宋" w:hAnsi="仿宋" w:eastAsia="仿宋" w:cs="仿宋"/>
          <w:kern w:val="2"/>
          <w:sz w:val="28"/>
          <w:szCs w:val="28"/>
        </w:rPr>
      </w:pPr>
      <w:r>
        <w:rPr>
          <w:rFonts w:hint="eastAsia" w:ascii="仿宋" w:hAnsi="仿宋" w:eastAsia="仿宋" w:cs="仿宋"/>
          <w:kern w:val="2"/>
          <w:sz w:val="28"/>
          <w:szCs w:val="28"/>
        </w:rPr>
        <w:t>质量标准：合格。符合包括但不限于以下标准、规范：</w:t>
      </w:r>
    </w:p>
    <w:p w14:paraId="5C6979A1">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（1）《建筑基坑工程监测技术标准》GB50497-2019</w:t>
      </w:r>
    </w:p>
    <w:p w14:paraId="30A4DF67">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（2）《建筑变形测量规范》JGJ8-2016</w:t>
      </w:r>
    </w:p>
    <w:p w14:paraId="62AE734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（3）《工程测量规范》GB50026-2007</w:t>
      </w:r>
    </w:p>
    <w:p w14:paraId="27BFC3D9">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（4）《城市综合管廊工程技术规范》GB50838－2015</w:t>
      </w:r>
    </w:p>
    <w:p w14:paraId="72979CB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（5）《建筑基坑支护技术规程》 JGJ120-2012</w:t>
      </w:r>
    </w:p>
    <w:p w14:paraId="79B5433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（6）《海南省地下综合管廊建设及运行维护技术标准》DBJ46-052-2019</w:t>
      </w:r>
    </w:p>
    <w:p w14:paraId="5E14920E">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（7）《危险性较大的分部分项工程安全管理规定》，中华人民共和国住房和城乡建设部令第37号</w:t>
      </w:r>
    </w:p>
    <w:p w14:paraId="69FA7AF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（8）住房城乡建设部办公厅关于实施《危险性较大的分部分项工程安全管理规定》有关问题的通知》，建办质〔2018〕31号</w:t>
      </w:r>
    </w:p>
    <w:p w14:paraId="1C2C7D01">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（9）《国家一、二等水准测量规范》（GB-T12897-2006）</w:t>
      </w:r>
    </w:p>
    <w:p w14:paraId="2CF1FAC4">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（10）国家或行业其它相关规范、强制性标准</w:t>
      </w:r>
    </w:p>
    <w:p w14:paraId="4AADAB22">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（11）相关设计图纸及施工方案等</w:t>
      </w:r>
    </w:p>
    <w:p w14:paraId="0C37942F">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3.2安全生产要求</w:t>
      </w:r>
    </w:p>
    <w:p w14:paraId="73A9D18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（1）乙方应遵守相关安全生产管理规定，做好项目实施过程中的安全生产工作，否则，由此引发的</w:t>
      </w:r>
      <w:r>
        <w:rPr>
          <w:rFonts w:hint="eastAsia" w:ascii="仿宋" w:hAnsi="仿宋" w:eastAsia="仿宋" w:cs="仿宋"/>
          <w:sz w:val="28"/>
          <w:szCs w:val="28"/>
          <w:lang w:val="en-US" w:eastAsia="zh-CN"/>
        </w:rPr>
        <w:t>各方的</w:t>
      </w:r>
      <w:r>
        <w:rPr>
          <w:rFonts w:hint="eastAsia" w:ascii="仿宋" w:hAnsi="仿宋" w:eastAsia="仿宋" w:cs="仿宋"/>
          <w:sz w:val="28"/>
          <w:szCs w:val="28"/>
        </w:rPr>
        <w:t>人身伤亡或财产损失</w:t>
      </w:r>
      <w:r>
        <w:rPr>
          <w:rFonts w:hint="eastAsia" w:ascii="仿宋" w:hAnsi="仿宋" w:eastAsia="仿宋" w:cs="仿宋"/>
          <w:sz w:val="28"/>
          <w:szCs w:val="28"/>
          <w:lang w:val="en-US" w:eastAsia="zh-CN"/>
        </w:rPr>
        <w:t>均</w:t>
      </w:r>
      <w:r>
        <w:rPr>
          <w:rFonts w:hint="eastAsia" w:ascii="仿宋" w:hAnsi="仿宋" w:eastAsia="仿宋" w:cs="仿宋"/>
          <w:sz w:val="28"/>
          <w:szCs w:val="28"/>
        </w:rPr>
        <w:t>由乙方负责。</w:t>
      </w:r>
    </w:p>
    <w:p w14:paraId="55FBBC2B">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（2）现场使用的监测设备，其安全性能应符合现行国家标准《爆炸性气体环境用电气设备》GB3836的有关规定。</w:t>
      </w:r>
    </w:p>
    <w:p w14:paraId="465FAAF8">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安全生产：按国家、地方相关《安全生产管理规定》对参与生产的员工进行安全生产教育；如在生产中发生人员伤亡或财产损失等事故，由乙方承担全部相关损失及责任。</w:t>
      </w:r>
    </w:p>
    <w:p w14:paraId="5A9A6AC0">
      <w:pPr>
        <w:keepNext w:val="0"/>
        <w:keepLines w:val="0"/>
        <w:pageBreakBefore w:val="0"/>
        <w:kinsoku/>
        <w:wordWrap/>
        <w:overflowPunct/>
        <w:topLinePunct w:val="0"/>
        <w:autoSpaceDE/>
        <w:autoSpaceDN/>
        <w:bidi w:val="0"/>
        <w:snapToGrid/>
        <w:spacing w:line="360" w:lineRule="auto"/>
        <w:ind w:firstLine="534" w:firstLineChars="190"/>
        <w:rPr>
          <w:rFonts w:hint="eastAsia" w:ascii="仿宋" w:hAnsi="仿宋" w:eastAsia="仿宋" w:cs="仿宋"/>
          <w:b/>
          <w:sz w:val="28"/>
          <w:szCs w:val="28"/>
        </w:rPr>
      </w:pPr>
      <w:r>
        <w:rPr>
          <w:rFonts w:hint="eastAsia" w:ascii="仿宋" w:hAnsi="仿宋" w:eastAsia="仿宋" w:cs="仿宋"/>
          <w:b/>
          <w:sz w:val="28"/>
          <w:szCs w:val="28"/>
        </w:rPr>
        <w:t>第四条 合同价款及付款方式</w:t>
      </w:r>
    </w:p>
    <w:p w14:paraId="7BB3BFA9">
      <w:pPr>
        <w:keepNext w:val="0"/>
        <w:keepLines w:val="0"/>
        <w:pageBreakBefore w:val="0"/>
        <w:kinsoku/>
        <w:wordWrap/>
        <w:overflowPunct/>
        <w:topLinePunct w:val="0"/>
        <w:autoSpaceDE/>
        <w:autoSpaceDN/>
        <w:bidi w:val="0"/>
        <w:snapToGrid/>
        <w:spacing w:line="360" w:lineRule="auto"/>
        <w:ind w:firstLine="480"/>
        <w:rPr>
          <w:rFonts w:hint="default" w:ascii="仿宋" w:hAnsi="仿宋" w:eastAsia="仿宋" w:cs="仿宋"/>
          <w:sz w:val="28"/>
          <w:szCs w:val="28"/>
          <w:lang w:val="en-US" w:eastAsia="zh-CN"/>
        </w:rPr>
      </w:pPr>
      <w:r>
        <w:rPr>
          <w:rFonts w:hint="eastAsia" w:ascii="仿宋" w:hAnsi="仿宋" w:eastAsia="仿宋" w:cs="仿宋"/>
          <w:sz w:val="28"/>
          <w:szCs w:val="28"/>
        </w:rPr>
        <w:t>4.1 合同价款：本工程</w:t>
      </w:r>
      <w:r>
        <w:rPr>
          <w:rFonts w:hint="eastAsia" w:ascii="仿宋" w:hAnsi="仿宋" w:eastAsia="仿宋" w:cs="仿宋"/>
          <w:sz w:val="28"/>
          <w:szCs w:val="28"/>
          <w:lang w:eastAsia="zh-CN"/>
        </w:rPr>
        <w:t>签约合同价</w:t>
      </w:r>
      <w:r>
        <w:rPr>
          <w:rFonts w:hint="eastAsia" w:ascii="仿宋" w:hAnsi="仿宋" w:eastAsia="仿宋" w:cs="仿宋"/>
          <w:sz w:val="28"/>
          <w:szCs w:val="28"/>
        </w:rPr>
        <w:t>人民币（大写）</w:t>
      </w:r>
      <w:permStart w:id="19" w:edGrp="everyone"/>
      <w:r>
        <w:rPr>
          <w:rFonts w:hint="eastAsia" w:ascii="仿宋" w:hAnsi="仿宋" w:eastAsia="仿宋" w:cs="仿宋"/>
          <w:sz w:val="28"/>
          <w:szCs w:val="28"/>
          <w:lang w:val="en-US" w:eastAsia="zh-CN"/>
        </w:rPr>
        <w:t xml:space="preserve">    </w:t>
      </w:r>
      <w:permEnd w:id="19"/>
      <w:r>
        <w:rPr>
          <w:rFonts w:hint="eastAsia" w:ascii="仿宋" w:hAnsi="仿宋" w:eastAsia="仿宋" w:cs="仿宋"/>
          <w:sz w:val="28"/>
          <w:szCs w:val="28"/>
        </w:rPr>
        <w:t>(</w:t>
      </w:r>
      <w:permStart w:id="20" w:edGrp="everyone"/>
      <w:r>
        <w:rPr>
          <w:rFonts w:hint="eastAsia" w:ascii="仿宋" w:hAnsi="仿宋" w:eastAsia="仿宋" w:cs="仿宋"/>
          <w:sz w:val="28"/>
          <w:szCs w:val="28"/>
        </w:rPr>
        <w:t>¥</w:t>
      </w:r>
      <w:r>
        <w:rPr>
          <w:rFonts w:hint="eastAsia" w:ascii="仿宋" w:hAnsi="仿宋" w:eastAsia="仿宋" w:cs="仿宋"/>
          <w:color w:val="000000"/>
          <w:sz w:val="28"/>
          <w:szCs w:val="28"/>
          <w:u w:val="none"/>
          <w:lang w:val="en-US" w:eastAsia="zh-CN" w:bidi="ar"/>
        </w:rPr>
        <w:t xml:space="preserve">  </w:t>
      </w:r>
      <w:permEnd w:id="20"/>
      <w:r>
        <w:rPr>
          <w:rFonts w:hint="eastAsia" w:ascii="仿宋" w:hAnsi="仿宋" w:eastAsia="仿宋" w:cs="仿宋"/>
          <w:sz w:val="28"/>
          <w:szCs w:val="28"/>
        </w:rPr>
        <w:t>，含税费及一切相关费用)，税率：</w:t>
      </w:r>
      <w:permStart w:id="21" w:edGrp="everyone"/>
      <w:r>
        <w:rPr>
          <w:rFonts w:hint="eastAsia" w:ascii="仿宋" w:hAnsi="仿宋" w:eastAsia="仿宋" w:cs="仿宋"/>
          <w:sz w:val="28"/>
          <w:szCs w:val="28"/>
          <w:u w:val="single"/>
          <w:lang w:val="en-US" w:eastAsia="zh-CN"/>
        </w:rPr>
        <w:t xml:space="preserve">  </w:t>
      </w:r>
      <w:permEnd w:id="21"/>
      <w:r>
        <w:rPr>
          <w:rFonts w:hint="eastAsia" w:ascii="仿宋" w:hAnsi="仿宋" w:eastAsia="仿宋" w:cs="仿宋"/>
          <w:sz w:val="28"/>
          <w:szCs w:val="28"/>
        </w:rPr>
        <w:t>%，不含税总价人民币（大写）</w:t>
      </w:r>
      <w:permStart w:id="22" w:edGrp="everyone"/>
      <w:r>
        <w:rPr>
          <w:rFonts w:hint="eastAsia" w:ascii="仿宋" w:hAnsi="仿宋" w:eastAsia="仿宋" w:cs="仿宋"/>
          <w:sz w:val="28"/>
          <w:szCs w:val="28"/>
          <w:u w:val="none"/>
          <w:lang w:val="en-US" w:eastAsia="zh-CN"/>
        </w:rPr>
        <w:t xml:space="preserve">   </w:t>
      </w:r>
      <w:permEnd w:id="22"/>
      <w:r>
        <w:rPr>
          <w:rFonts w:hint="eastAsia" w:ascii="仿宋" w:hAnsi="仿宋" w:eastAsia="仿宋" w:cs="仿宋"/>
          <w:sz w:val="28"/>
          <w:szCs w:val="28"/>
        </w:rPr>
        <w:t>(</w:t>
      </w:r>
      <w:permStart w:id="23" w:edGrp="everyone"/>
      <w:r>
        <w:rPr>
          <w:rFonts w:hint="eastAsia" w:ascii="仿宋" w:hAnsi="仿宋" w:eastAsia="仿宋" w:cs="仿宋"/>
          <w:sz w:val="28"/>
          <w:szCs w:val="28"/>
          <w:lang w:val="en-US" w:eastAsia="zh-CN"/>
        </w:rPr>
        <w:t xml:space="preserve">    </w:t>
      </w:r>
      <w:permEnd w:id="23"/>
      <w:r>
        <w:rPr>
          <w:rFonts w:hint="eastAsia" w:ascii="仿宋" w:hAnsi="仿宋" w:eastAsia="仿宋" w:cs="仿宋"/>
          <w:sz w:val="28"/>
          <w:szCs w:val="28"/>
        </w:rPr>
        <w:t>)。结算方式：全费用固定单价*实际工程量。</w:t>
      </w:r>
      <w:r>
        <w:rPr>
          <w:rFonts w:hint="eastAsia" w:ascii="仿宋" w:hAnsi="仿宋" w:eastAsia="仿宋" w:cs="仿宋"/>
          <w:sz w:val="28"/>
          <w:szCs w:val="28"/>
          <w:lang w:val="en-US" w:eastAsia="zh-CN"/>
        </w:rPr>
        <w:t>双方约定，最终累计结算总金额不得超过本合同的签约合同价。</w:t>
      </w:r>
    </w:p>
    <w:p w14:paraId="78F42B06">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单价为综合单价，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甲方确认的实际完成工程量进行核算。</w:t>
      </w:r>
    </w:p>
    <w:p w14:paraId="1A20F2D3">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4.2 付款方式：</w:t>
      </w:r>
    </w:p>
    <w:p w14:paraId="08420E06">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lang w:eastAsia="zh-CN"/>
        </w:rPr>
      </w:pPr>
      <w:r>
        <w:rPr>
          <w:rFonts w:hint="eastAsia" w:ascii="仿宋" w:hAnsi="仿宋" w:eastAsia="仿宋" w:cs="仿宋"/>
          <w:kern w:val="2"/>
          <w:sz w:val="28"/>
          <w:szCs w:val="28"/>
        </w:rPr>
        <w:t>4.2.1 预付款：无预付款</w:t>
      </w:r>
      <w:r>
        <w:rPr>
          <w:rFonts w:hint="eastAsia" w:ascii="仿宋" w:hAnsi="仿宋" w:eastAsia="仿宋" w:cs="仿宋"/>
          <w:kern w:val="2"/>
          <w:sz w:val="28"/>
          <w:szCs w:val="28"/>
          <w:lang w:eastAsia="zh-CN"/>
        </w:rPr>
        <w:t>。</w:t>
      </w:r>
    </w:p>
    <w:p w14:paraId="6E8DD9F2">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lang w:eastAsia="zh-CN"/>
        </w:rPr>
      </w:pPr>
      <w:r>
        <w:rPr>
          <w:rFonts w:hint="eastAsia" w:ascii="仿宋" w:hAnsi="仿宋" w:eastAsia="仿宋" w:cs="仿宋"/>
          <w:kern w:val="2"/>
          <w:sz w:val="28"/>
          <w:szCs w:val="28"/>
        </w:rPr>
        <w:t>4.2.2 乙方按季度申请进度款，经甲方审核确认后15个工作日内，甲方向乙方支付进度款；季度监测进度款计算方式：按当季度计量额监测费用的</w:t>
      </w:r>
      <w:permStart w:id="24" w:edGrp="everyone"/>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0%</w:t>
      </w:r>
      <w:permEnd w:id="24"/>
      <w:r>
        <w:rPr>
          <w:rFonts w:hint="eastAsia" w:ascii="仿宋" w:hAnsi="仿宋" w:eastAsia="仿宋" w:cs="仿宋"/>
          <w:kern w:val="2"/>
          <w:sz w:val="28"/>
          <w:szCs w:val="28"/>
        </w:rPr>
        <w:t>=（全费用固定单价*当季度实际完成工程量*</w:t>
      </w:r>
      <w:permStart w:id="25" w:edGrp="everyone"/>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0%</w:t>
      </w:r>
      <w:permEnd w:id="25"/>
      <w:r>
        <w:rPr>
          <w:rFonts w:hint="eastAsia" w:ascii="仿宋" w:hAnsi="仿宋" w:eastAsia="仿宋" w:cs="仿宋"/>
          <w:kern w:val="2"/>
          <w:sz w:val="28"/>
          <w:szCs w:val="28"/>
        </w:rPr>
        <w:t>）</w:t>
      </w:r>
      <w:r>
        <w:rPr>
          <w:rFonts w:hint="eastAsia" w:ascii="仿宋" w:hAnsi="仿宋" w:eastAsia="仿宋" w:cs="仿宋"/>
          <w:kern w:val="2"/>
          <w:sz w:val="28"/>
          <w:szCs w:val="28"/>
          <w:lang w:eastAsia="zh-CN"/>
        </w:rPr>
        <w:t>。</w:t>
      </w:r>
    </w:p>
    <w:p w14:paraId="356F053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4.2.3 累计支付额度：最终累计支付金额不大于</w:t>
      </w:r>
      <w:r>
        <w:rPr>
          <w:rFonts w:hint="eastAsia" w:ascii="仿宋" w:hAnsi="仿宋" w:eastAsia="仿宋" w:cs="仿宋"/>
          <w:sz w:val="28"/>
          <w:szCs w:val="28"/>
          <w:lang w:eastAsia="zh-CN"/>
        </w:rPr>
        <w:t>签约合同价</w:t>
      </w:r>
      <w:r>
        <w:rPr>
          <w:rFonts w:hint="eastAsia" w:ascii="仿宋" w:hAnsi="仿宋" w:eastAsia="仿宋" w:cs="仿宋"/>
          <w:sz w:val="28"/>
          <w:szCs w:val="28"/>
        </w:rPr>
        <w:t>的</w:t>
      </w:r>
      <w:permStart w:id="26" w:edGrp="everyone"/>
      <w:r>
        <w:rPr>
          <w:rFonts w:hint="eastAsia" w:ascii="仿宋" w:hAnsi="仿宋" w:eastAsia="仿宋" w:cs="仿宋"/>
          <w:sz w:val="28"/>
          <w:szCs w:val="28"/>
          <w:lang w:val="en-US" w:eastAsia="zh-CN"/>
        </w:rPr>
        <w:t>7</w:t>
      </w:r>
      <w:r>
        <w:rPr>
          <w:rFonts w:hint="eastAsia" w:ascii="仿宋" w:hAnsi="仿宋" w:eastAsia="仿宋" w:cs="仿宋"/>
          <w:sz w:val="28"/>
          <w:szCs w:val="28"/>
        </w:rPr>
        <w:t>0%</w:t>
      </w:r>
      <w:permEnd w:id="26"/>
      <w:r>
        <w:rPr>
          <w:rFonts w:hint="eastAsia" w:ascii="仿宋" w:hAnsi="仿宋" w:eastAsia="仿宋" w:cs="仿宋"/>
          <w:sz w:val="28"/>
          <w:szCs w:val="28"/>
          <w:lang w:eastAsia="zh-CN"/>
        </w:rPr>
        <w:t>。</w:t>
      </w:r>
    </w:p>
    <w:p w14:paraId="698081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Cs/>
          <w:sz w:val="28"/>
          <w:szCs w:val="28"/>
        </w:rPr>
      </w:pPr>
      <w:r>
        <w:rPr>
          <w:rFonts w:hint="eastAsia" w:ascii="仿宋" w:hAnsi="仿宋" w:eastAsia="仿宋" w:cs="仿宋"/>
          <w:bCs/>
          <w:sz w:val="28"/>
          <w:szCs w:val="28"/>
        </w:rPr>
        <w:t>4.2.4 在项目工程竣工验收备案后且发包人审核确认工程结算并取得相关部门批复（如有）完成后，且甲乙双方办理完毕结算后30个工作日内，甲方向乙方支付剩余结算款。</w:t>
      </w:r>
    </w:p>
    <w:p w14:paraId="7B82D25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4.2.5 监测费不因服务期的增减而进行调整</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且因</w:t>
      </w:r>
      <w:r>
        <w:rPr>
          <w:rFonts w:hint="eastAsia" w:ascii="仿宋" w:hAnsi="仿宋" w:eastAsia="仿宋" w:cs="仿宋"/>
          <w:bCs/>
          <w:sz w:val="28"/>
          <w:szCs w:val="28"/>
        </w:rPr>
        <w:t>项目建设进度、天气情况、现场地质情况等导致的增加监测频率、监测次数、监测点位数量，监测费用</w:t>
      </w:r>
      <w:r>
        <w:rPr>
          <w:rFonts w:hint="eastAsia" w:ascii="仿宋" w:hAnsi="仿宋" w:eastAsia="仿宋" w:cs="仿宋"/>
          <w:bCs/>
          <w:sz w:val="28"/>
          <w:szCs w:val="28"/>
          <w:lang w:val="en-US" w:eastAsia="zh-CN"/>
        </w:rPr>
        <w:t>均</w:t>
      </w:r>
      <w:r>
        <w:rPr>
          <w:rFonts w:hint="eastAsia" w:ascii="仿宋" w:hAnsi="仿宋" w:eastAsia="仿宋" w:cs="仿宋"/>
          <w:bCs/>
          <w:sz w:val="28"/>
          <w:szCs w:val="28"/>
        </w:rPr>
        <w:t>不增加</w:t>
      </w:r>
      <w:r>
        <w:rPr>
          <w:rFonts w:hint="eastAsia" w:ascii="仿宋" w:hAnsi="仿宋" w:eastAsia="仿宋" w:cs="仿宋"/>
          <w:bCs/>
          <w:sz w:val="28"/>
          <w:szCs w:val="28"/>
          <w:lang w:eastAsia="zh-CN"/>
        </w:rPr>
        <w:t>。</w:t>
      </w:r>
    </w:p>
    <w:p w14:paraId="22EAF4BC">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4.2.6 乙方指定收款账户信息：</w:t>
      </w:r>
    </w:p>
    <w:p w14:paraId="0210A5C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开户银行：</w:t>
      </w:r>
      <w:permStart w:id="27"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27"/>
      <w:r>
        <w:rPr>
          <w:rFonts w:hint="eastAsia" w:ascii="仿宋" w:hAnsi="仿宋" w:eastAsia="仿宋" w:cs="仿宋"/>
          <w:bCs/>
          <w:sz w:val="28"/>
          <w:szCs w:val="28"/>
        </w:rPr>
        <w:t xml:space="preserve"> </w:t>
      </w:r>
    </w:p>
    <w:p w14:paraId="45D2AADE">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户名：</w:t>
      </w:r>
      <w:permStart w:id="28"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28"/>
      <w:r>
        <w:rPr>
          <w:rFonts w:hint="eastAsia" w:ascii="仿宋" w:hAnsi="仿宋" w:eastAsia="仿宋" w:cs="仿宋"/>
          <w:bCs/>
          <w:sz w:val="28"/>
          <w:szCs w:val="28"/>
        </w:rPr>
        <w:t xml:space="preserve"> </w:t>
      </w:r>
    </w:p>
    <w:p w14:paraId="7FBCD382">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地址：</w:t>
      </w:r>
      <w:permStart w:id="29"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ermEnd w:id="29"/>
      <w:r>
        <w:rPr>
          <w:rFonts w:hint="eastAsia" w:ascii="仿宋" w:hAnsi="仿宋" w:eastAsia="仿宋" w:cs="仿宋"/>
          <w:bCs/>
          <w:sz w:val="28"/>
          <w:szCs w:val="28"/>
        </w:rPr>
        <w:t xml:space="preserve"> </w:t>
      </w:r>
    </w:p>
    <w:p w14:paraId="43E9CE95">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账号：</w:t>
      </w:r>
      <w:permStart w:id="30"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ermEnd w:id="30"/>
    </w:p>
    <w:p w14:paraId="465DCCDB">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4.2.7 甲方指定开票信息：</w:t>
      </w:r>
    </w:p>
    <w:p w14:paraId="736C415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公司名称：</w:t>
      </w:r>
      <w:permStart w:id="31" w:edGrp="everyone"/>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31"/>
      <w:r>
        <w:rPr>
          <w:rFonts w:hint="eastAsia" w:ascii="仿宋" w:hAnsi="仿宋" w:eastAsia="仿宋" w:cs="仿宋"/>
          <w:sz w:val="28"/>
          <w:szCs w:val="28"/>
        </w:rPr>
        <w:t xml:space="preserve"> </w:t>
      </w:r>
    </w:p>
    <w:p w14:paraId="4EA530B6">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纳说人识别号：</w:t>
      </w:r>
      <w:permStart w:id="32"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32"/>
      <w:r>
        <w:rPr>
          <w:rFonts w:hint="eastAsia" w:ascii="仿宋" w:hAnsi="仿宋" w:eastAsia="仿宋" w:cs="仿宋"/>
          <w:sz w:val="28"/>
          <w:szCs w:val="28"/>
        </w:rPr>
        <w:t xml:space="preserve"> </w:t>
      </w:r>
    </w:p>
    <w:p w14:paraId="07484C9B">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w:t>
      </w:r>
      <w:permStart w:id="33" w:edGrp="everyone"/>
      <w:r>
        <w:rPr>
          <w:rFonts w:hint="eastAsia" w:ascii="仿宋" w:hAnsi="仿宋" w:eastAsia="仿宋" w:cs="仿宋"/>
          <w:color w:val="000000"/>
          <w:sz w:val="28"/>
          <w:szCs w:val="28"/>
          <w:lang w:val="en-US" w:eastAsia="zh-CN" w:bidi="ar"/>
        </w:rPr>
        <w:t xml:space="preserve">                             </w:t>
      </w:r>
      <w:permEnd w:id="33"/>
      <w:r>
        <w:rPr>
          <w:rFonts w:hint="eastAsia" w:ascii="仿宋" w:hAnsi="仿宋" w:eastAsia="仿宋" w:cs="仿宋"/>
          <w:sz w:val="28"/>
          <w:szCs w:val="28"/>
        </w:rPr>
        <w:t xml:space="preserve"> </w:t>
      </w:r>
    </w:p>
    <w:p w14:paraId="39F6ECB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34"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34"/>
      <w:r>
        <w:rPr>
          <w:rFonts w:hint="eastAsia" w:ascii="仿宋" w:hAnsi="仿宋" w:eastAsia="仿宋" w:cs="仿宋"/>
          <w:sz w:val="28"/>
          <w:szCs w:val="28"/>
        </w:rPr>
        <w:t xml:space="preserve"> </w:t>
      </w:r>
    </w:p>
    <w:p w14:paraId="6B948C3F">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开户行：</w:t>
      </w:r>
      <w:permStart w:id="35"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35"/>
      <w:r>
        <w:rPr>
          <w:rFonts w:hint="eastAsia" w:ascii="仿宋" w:hAnsi="仿宋" w:eastAsia="仿宋" w:cs="仿宋"/>
          <w:sz w:val="28"/>
          <w:szCs w:val="28"/>
        </w:rPr>
        <w:t xml:space="preserve"> </w:t>
      </w:r>
    </w:p>
    <w:p w14:paraId="3D02C5D5">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银行账号：</w:t>
      </w:r>
      <w:permStart w:id="36" w:edGrp="everyone"/>
      <w:r>
        <w:rPr>
          <w:rFonts w:hint="eastAsia" w:ascii="仿宋" w:hAnsi="仿宋" w:eastAsia="仿宋" w:cs="仿宋"/>
          <w:color w:val="000000"/>
          <w:sz w:val="28"/>
          <w:szCs w:val="28"/>
          <w:lang w:val="en-US" w:eastAsia="zh-CN" w:bidi="ar"/>
        </w:rPr>
        <w:t xml:space="preserve">                       </w:t>
      </w:r>
      <w:permEnd w:id="36"/>
      <w:r>
        <w:rPr>
          <w:rFonts w:hint="eastAsia" w:ascii="仿宋" w:hAnsi="仿宋" w:eastAsia="仿宋" w:cs="仿宋"/>
          <w:sz w:val="28"/>
          <w:szCs w:val="28"/>
        </w:rPr>
        <w:t xml:space="preserve"> </w:t>
      </w:r>
    </w:p>
    <w:p w14:paraId="4986BD73">
      <w:pPr>
        <w:keepNext w:val="0"/>
        <w:keepLines w:val="0"/>
        <w:pageBreakBefore w:val="0"/>
        <w:kinsoku/>
        <w:wordWrap/>
        <w:overflowPunct/>
        <w:topLinePunct w:val="0"/>
        <w:autoSpaceDE/>
        <w:autoSpaceDN/>
        <w:bidi w:val="0"/>
        <w:snapToGrid/>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4.2.8 甲方支付每一笔款项前，乙方应开具合法有效的增值税</w:t>
      </w:r>
      <w:permStart w:id="37" w:edGrp="everyone"/>
      <w:r>
        <w:rPr>
          <w:rFonts w:hint="eastAsia" w:ascii="仿宋" w:hAnsi="仿宋" w:eastAsia="仿宋" w:cs="仿宋"/>
          <w:bCs/>
          <w:sz w:val="28"/>
          <w:szCs w:val="28"/>
          <w:lang w:val="en-US" w:eastAsia="zh-CN"/>
        </w:rPr>
        <w:t>专用</w:t>
      </w:r>
      <w:permEnd w:id="37"/>
      <w:r>
        <w:rPr>
          <w:rFonts w:hint="eastAsia" w:ascii="仿宋" w:hAnsi="仿宋" w:eastAsia="仿宋" w:cs="仿宋"/>
          <w:bCs/>
          <w:sz w:val="28"/>
          <w:szCs w:val="28"/>
        </w:rPr>
        <w:t>发票，否则甲方有权拒绝付款，由此造成的损失由乙方承担，</w:t>
      </w:r>
      <w:bookmarkStart w:id="1" w:name="_Hlk72918616"/>
      <w:r>
        <w:rPr>
          <w:rFonts w:hint="eastAsia" w:ascii="仿宋" w:hAnsi="仿宋" w:eastAsia="仿宋" w:cs="仿宋"/>
          <w:bCs/>
          <w:sz w:val="28"/>
          <w:szCs w:val="28"/>
        </w:rPr>
        <w:t>甲方的支付时限相应顺延，且不视为甲方违约。因政府相关部门必要的审批程序和拨款程序（如有）造成支付拖延，乙方同意不计取任何利息、滞纳金、赔偿金，也不视同甲方违约而需支付违约金</w:t>
      </w:r>
      <w:bookmarkEnd w:id="1"/>
      <w:r>
        <w:rPr>
          <w:rFonts w:hint="eastAsia" w:ascii="仿宋" w:hAnsi="仿宋" w:eastAsia="仿宋" w:cs="仿宋"/>
          <w:bCs/>
          <w:sz w:val="28"/>
          <w:szCs w:val="28"/>
        </w:rPr>
        <w:t>。</w:t>
      </w:r>
    </w:p>
    <w:p w14:paraId="6B846B59">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w:t>
      </w:r>
      <w:bookmarkStart w:id="2" w:name="_Hlk61872966"/>
      <w:r>
        <w:rPr>
          <w:rFonts w:hint="eastAsia" w:ascii="仿宋" w:hAnsi="仿宋" w:eastAsia="仿宋" w:cs="仿宋"/>
          <w:bCs/>
          <w:sz w:val="28"/>
          <w:szCs w:val="28"/>
        </w:rPr>
        <w:t>9 乙方提交虚假发票，甲方有权解除合同。乙方提交的发票必须合法、有效。若乙方提交虚假发票，须在甲方规定的时限内更换发票，并按</w:t>
      </w:r>
      <w:r>
        <w:rPr>
          <w:rFonts w:hint="eastAsia" w:ascii="仿宋" w:hAnsi="仿宋" w:eastAsia="仿宋" w:cs="仿宋"/>
          <w:bCs/>
          <w:sz w:val="28"/>
          <w:szCs w:val="28"/>
          <w:lang w:eastAsia="zh-CN"/>
        </w:rPr>
        <w:t>签约合同价</w:t>
      </w:r>
      <w:r>
        <w:rPr>
          <w:rFonts w:hint="eastAsia" w:ascii="仿宋" w:hAnsi="仿宋" w:eastAsia="仿宋" w:cs="仿宋"/>
          <w:bCs/>
          <w:sz w:val="28"/>
          <w:szCs w:val="28"/>
        </w:rPr>
        <w:t>的20%向甲方支付违约金。甲方尚未支付款项的，甲方有权停止支付款项并扣除乙方违约金直至乙方发票符合约定；甲方已支付款项的，甲方有权从次笔进度款或结算款中扣回已支付的款项并扣除违约金，乙方提供合法有效发票后甲方按约定付款；对已完成结算并支付款项完毕，乙方拒不提供合法有效发票并未支付违约金的，甲方将通过法律途径追究乙方相关责任。</w:t>
      </w:r>
      <w:bookmarkEnd w:id="2"/>
    </w:p>
    <w:p w14:paraId="1A722585">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bookmarkStart w:id="3" w:name="_Hlk72918636"/>
      <w:r>
        <w:rPr>
          <w:rFonts w:hint="eastAsia" w:ascii="仿宋" w:hAnsi="仿宋" w:eastAsia="仿宋" w:cs="仿宋"/>
          <w:bCs/>
          <w:sz w:val="28"/>
          <w:szCs w:val="28"/>
        </w:rPr>
        <w:t>4.2.10 甲方有权在应付乙方费用中扣除乙方应承担的违约金及赔偿款，不足部分甲方有权继续追偿</w:t>
      </w:r>
      <w:bookmarkEnd w:id="3"/>
      <w:r>
        <w:rPr>
          <w:rFonts w:hint="eastAsia" w:ascii="仿宋" w:hAnsi="仿宋" w:eastAsia="仿宋" w:cs="仿宋"/>
          <w:bCs/>
          <w:sz w:val="28"/>
          <w:szCs w:val="28"/>
        </w:rPr>
        <w:t>。</w:t>
      </w:r>
    </w:p>
    <w:p w14:paraId="29A63CFD">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第五条 监测费用预算表</w:t>
      </w:r>
    </w:p>
    <w:tbl>
      <w:tblPr>
        <w:tblStyle w:val="9"/>
        <w:tblW w:w="5761" w:type="pct"/>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660"/>
        <w:gridCol w:w="720"/>
        <w:gridCol w:w="2220"/>
        <w:gridCol w:w="465"/>
        <w:gridCol w:w="480"/>
        <w:gridCol w:w="570"/>
        <w:gridCol w:w="450"/>
        <w:gridCol w:w="870"/>
        <w:gridCol w:w="495"/>
        <w:gridCol w:w="810"/>
        <w:gridCol w:w="870"/>
        <w:gridCol w:w="750"/>
        <w:gridCol w:w="332"/>
      </w:tblGrid>
      <w:tr w14:paraId="55C4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4"/>
            <w:tcBorders>
              <w:top w:val="nil"/>
              <w:left w:val="nil"/>
              <w:bottom w:val="nil"/>
              <w:right w:val="nil"/>
            </w:tcBorders>
            <w:noWrap/>
            <w:vAlign w:val="center"/>
          </w:tcPr>
          <w:p w14:paraId="05C71CA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permStart w:id="38" w:edGrp="everyone"/>
            <w:r>
              <w:rPr>
                <w:rFonts w:hint="eastAsia" w:ascii="宋体" w:hAnsi="宋体" w:eastAsia="宋体" w:cs="宋体"/>
                <w:b/>
                <w:bCs/>
                <w:i w:val="0"/>
                <w:iCs w:val="0"/>
                <w:color w:val="000000"/>
                <w:kern w:val="0"/>
                <w:sz w:val="24"/>
                <w:szCs w:val="24"/>
                <w:u w:val="none"/>
                <w:lang w:val="en-US" w:eastAsia="zh-CN" w:bidi="ar"/>
              </w:rPr>
              <w:t>基坑监测及主体沉降观测工程量清单报价单</w:t>
            </w:r>
          </w:p>
        </w:tc>
      </w:tr>
      <w:tr w14:paraId="754C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58" w:type="pct"/>
            <w:vMerge w:val="restart"/>
            <w:tcBorders>
              <w:top w:val="single" w:color="000000" w:sz="4" w:space="0"/>
              <w:left w:val="single" w:color="000000" w:sz="4" w:space="0"/>
              <w:bottom w:val="single" w:color="000000" w:sz="4" w:space="0"/>
              <w:right w:val="single" w:color="000000" w:sz="4" w:space="0"/>
            </w:tcBorders>
            <w:noWrap/>
            <w:vAlign w:val="center"/>
          </w:tcPr>
          <w:p w14:paraId="15794F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6" w:type="pct"/>
            <w:vMerge w:val="restart"/>
            <w:tcBorders>
              <w:top w:val="single" w:color="000000" w:sz="4" w:space="0"/>
              <w:left w:val="single" w:color="000000" w:sz="4" w:space="0"/>
              <w:bottom w:val="single" w:color="000000" w:sz="4" w:space="0"/>
              <w:right w:val="single" w:color="000000" w:sz="4" w:space="0"/>
            </w:tcBorders>
            <w:noWrap/>
            <w:vAlign w:val="center"/>
          </w:tcPr>
          <w:p w14:paraId="663B16D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344" w:type="pct"/>
            <w:vMerge w:val="restart"/>
            <w:tcBorders>
              <w:top w:val="single" w:color="000000" w:sz="4" w:space="0"/>
              <w:left w:val="single" w:color="000000" w:sz="4" w:space="0"/>
              <w:bottom w:val="single" w:color="000000" w:sz="4" w:space="0"/>
              <w:right w:val="single" w:color="000000" w:sz="4" w:space="0"/>
            </w:tcBorders>
            <w:noWrap/>
            <w:vAlign w:val="center"/>
          </w:tcPr>
          <w:p w14:paraId="2C4CBD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063" w:type="pct"/>
            <w:vMerge w:val="restart"/>
            <w:tcBorders>
              <w:top w:val="single" w:color="000000" w:sz="4" w:space="0"/>
              <w:left w:val="single" w:color="000000" w:sz="4" w:space="0"/>
              <w:bottom w:val="single" w:color="000000" w:sz="4" w:space="0"/>
              <w:right w:val="single" w:color="000000" w:sz="4" w:space="0"/>
            </w:tcBorders>
            <w:noWrap/>
            <w:vAlign w:val="center"/>
          </w:tcPr>
          <w:p w14:paraId="4DB6D80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w:t>
            </w:r>
          </w:p>
        </w:tc>
        <w:tc>
          <w:tcPr>
            <w:tcW w:w="222" w:type="pct"/>
            <w:vMerge w:val="restart"/>
            <w:tcBorders>
              <w:top w:val="single" w:color="000000" w:sz="4" w:space="0"/>
              <w:left w:val="single" w:color="000000" w:sz="4" w:space="0"/>
              <w:bottom w:val="single" w:color="000000" w:sz="4" w:space="0"/>
              <w:right w:val="single" w:color="000000" w:sz="4" w:space="0"/>
            </w:tcBorders>
            <w:noWrap/>
            <w:vAlign w:val="center"/>
          </w:tcPr>
          <w:p w14:paraId="563F0BF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9" w:type="pct"/>
            <w:vMerge w:val="restart"/>
            <w:tcBorders>
              <w:top w:val="single" w:color="000000" w:sz="4" w:space="0"/>
              <w:left w:val="single" w:color="000000" w:sz="4" w:space="0"/>
              <w:bottom w:val="single" w:color="000000" w:sz="4" w:space="0"/>
              <w:right w:val="single" w:color="000000" w:sz="4" w:space="0"/>
            </w:tcBorders>
            <w:noWrap/>
            <w:vAlign w:val="center"/>
          </w:tcPr>
          <w:p w14:paraId="0D09AC2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监测点数</w:t>
            </w:r>
          </w:p>
        </w:tc>
        <w:tc>
          <w:tcPr>
            <w:tcW w:w="272" w:type="pct"/>
            <w:vMerge w:val="restart"/>
            <w:tcBorders>
              <w:top w:val="single" w:color="000000" w:sz="4" w:space="0"/>
              <w:left w:val="single" w:color="000000" w:sz="4" w:space="0"/>
              <w:bottom w:val="single" w:color="000000" w:sz="4" w:space="0"/>
              <w:right w:val="single" w:color="000000" w:sz="4" w:space="0"/>
            </w:tcBorders>
            <w:noWrap/>
            <w:vAlign w:val="center"/>
          </w:tcPr>
          <w:p w14:paraId="5B470B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监测次数</w:t>
            </w:r>
          </w:p>
        </w:tc>
        <w:tc>
          <w:tcPr>
            <w:tcW w:w="215" w:type="pct"/>
            <w:vMerge w:val="restart"/>
            <w:tcBorders>
              <w:top w:val="single" w:color="000000" w:sz="4" w:space="0"/>
              <w:left w:val="single" w:color="000000" w:sz="4" w:space="0"/>
              <w:bottom w:val="single" w:color="000000" w:sz="4" w:space="0"/>
              <w:right w:val="single" w:color="000000" w:sz="4" w:space="0"/>
            </w:tcBorders>
            <w:noWrap/>
            <w:vAlign w:val="center"/>
          </w:tcPr>
          <w:p w14:paraId="5B8DFEA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暂定工程量</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14:paraId="6CE9F6F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不含税综合单价（元/单位）</w:t>
            </w:r>
          </w:p>
        </w:tc>
        <w:tc>
          <w:tcPr>
            <w:tcW w:w="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9F493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C76DD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含税综合单价（元/单位）</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3174E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不含税综合合价（元）</w:t>
            </w:r>
          </w:p>
        </w:tc>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4D4379F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含税综合合价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58" w:type="pct"/>
            <w:vMerge w:val="restart"/>
            <w:tcBorders>
              <w:top w:val="single" w:color="000000" w:sz="4" w:space="0"/>
              <w:left w:val="single" w:color="000000" w:sz="4" w:space="0"/>
              <w:bottom w:val="single" w:color="000000" w:sz="4" w:space="0"/>
              <w:right w:val="single" w:color="000000" w:sz="4" w:space="0"/>
            </w:tcBorders>
            <w:noWrap w:val="0"/>
            <w:vAlign w:val="center"/>
          </w:tcPr>
          <w:p w14:paraId="7EE080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D18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ign w:val="center"/>
          </w:tcPr>
          <w:p w14:paraId="2C1350E4">
            <w:pPr>
              <w:jc w:val="center"/>
              <w:rPr>
                <w:rFonts w:hint="eastAsia" w:ascii="宋体" w:hAnsi="宋体" w:eastAsia="宋体" w:cs="宋体"/>
                <w:b/>
                <w:bCs/>
                <w:i w:val="0"/>
                <w:iCs w:val="0"/>
                <w:color w:val="000000"/>
                <w:sz w:val="20"/>
                <w:szCs w:val="20"/>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ign w:val="center"/>
          </w:tcPr>
          <w:p w14:paraId="0459732B">
            <w:pPr>
              <w:jc w:val="center"/>
              <w:rPr>
                <w:rFonts w:hint="eastAsia" w:ascii="宋体" w:hAnsi="宋体" w:eastAsia="宋体" w:cs="宋体"/>
                <w:b/>
                <w:bCs/>
                <w:i w:val="0"/>
                <w:iCs w:val="0"/>
                <w:color w:val="000000"/>
                <w:sz w:val="20"/>
                <w:szCs w:val="20"/>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ign w:val="center"/>
          </w:tcPr>
          <w:p w14:paraId="0A3E4936">
            <w:pPr>
              <w:jc w:val="center"/>
              <w:rPr>
                <w:rFonts w:hint="eastAsia" w:ascii="宋体" w:hAnsi="宋体" w:eastAsia="宋体" w:cs="宋体"/>
                <w:b/>
                <w:bCs/>
                <w:i w:val="0"/>
                <w:iCs w:val="0"/>
                <w:color w:val="000000"/>
                <w:sz w:val="20"/>
                <w:szCs w:val="20"/>
                <w:u w:val="none"/>
              </w:rPr>
            </w:pPr>
          </w:p>
        </w:tc>
        <w:tc>
          <w:tcPr>
            <w:tcW w:w="1063" w:type="pct"/>
            <w:vMerge w:val="continue"/>
            <w:tcBorders>
              <w:top w:val="single" w:color="000000" w:sz="4" w:space="0"/>
              <w:left w:val="single" w:color="000000" w:sz="4" w:space="0"/>
              <w:bottom w:val="single" w:color="000000" w:sz="4" w:space="0"/>
              <w:right w:val="single" w:color="000000" w:sz="4" w:space="0"/>
            </w:tcBorders>
            <w:noWrap/>
            <w:vAlign w:val="center"/>
          </w:tcPr>
          <w:p w14:paraId="68E1C521">
            <w:pPr>
              <w:jc w:val="center"/>
              <w:rPr>
                <w:rFonts w:hint="eastAsia" w:ascii="宋体" w:hAnsi="宋体" w:eastAsia="宋体" w:cs="宋体"/>
                <w:b/>
                <w:bCs/>
                <w:i w:val="0"/>
                <w:iCs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ign w:val="center"/>
          </w:tcPr>
          <w:p w14:paraId="4C99F2ED">
            <w:pPr>
              <w:jc w:val="center"/>
              <w:rPr>
                <w:rFonts w:hint="eastAsia" w:ascii="宋体" w:hAnsi="宋体" w:eastAsia="宋体" w:cs="宋体"/>
                <w:b/>
                <w:bCs/>
                <w:i w:val="0"/>
                <w:iCs w:val="0"/>
                <w:color w:val="000000"/>
                <w:sz w:val="20"/>
                <w:szCs w:val="20"/>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ign w:val="center"/>
          </w:tcPr>
          <w:p w14:paraId="0272A875">
            <w:pPr>
              <w:jc w:val="center"/>
              <w:rPr>
                <w:rFonts w:hint="eastAsia" w:ascii="宋体" w:hAnsi="宋体" w:eastAsia="宋体" w:cs="宋体"/>
                <w:b/>
                <w:bCs/>
                <w:i w:val="0"/>
                <w:iCs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ign w:val="center"/>
          </w:tcPr>
          <w:p w14:paraId="578319B3">
            <w:pPr>
              <w:jc w:val="center"/>
              <w:rPr>
                <w:rFonts w:hint="eastAsia" w:ascii="宋体" w:hAnsi="宋体" w:eastAsia="宋体" w:cs="宋体"/>
                <w:b/>
                <w:bCs/>
                <w:i w:val="0"/>
                <w:iCs w:val="0"/>
                <w:color w:val="000000"/>
                <w:sz w:val="20"/>
                <w:szCs w:val="20"/>
                <w:u w:val="none"/>
              </w:rPr>
            </w:pPr>
          </w:p>
        </w:tc>
        <w:tc>
          <w:tcPr>
            <w:tcW w:w="215" w:type="pct"/>
            <w:vMerge w:val="continue"/>
            <w:tcBorders>
              <w:top w:val="single" w:color="000000" w:sz="4" w:space="0"/>
              <w:left w:val="single" w:color="000000" w:sz="4" w:space="0"/>
              <w:bottom w:val="single" w:color="000000" w:sz="4" w:space="0"/>
              <w:right w:val="single" w:color="000000" w:sz="4" w:space="0"/>
            </w:tcBorders>
            <w:noWrap/>
            <w:vAlign w:val="center"/>
          </w:tcPr>
          <w:p w14:paraId="370F50AE">
            <w:pPr>
              <w:jc w:val="center"/>
              <w:rPr>
                <w:rFonts w:hint="eastAsia" w:ascii="宋体" w:hAnsi="宋体" w:eastAsia="宋体" w:cs="宋体"/>
                <w:b/>
                <w:bCs/>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DB22B">
            <w:pPr>
              <w:jc w:val="center"/>
              <w:rPr>
                <w:rFonts w:hint="eastAsia" w:ascii="宋体" w:hAnsi="宋体" w:eastAsia="宋体" w:cs="宋体"/>
                <w:b/>
                <w:bCs/>
                <w:i w:val="0"/>
                <w:iCs w:val="0"/>
                <w:color w:val="000000"/>
                <w:sz w:val="20"/>
                <w:szCs w:val="20"/>
                <w:u w:val="none"/>
              </w:rPr>
            </w:pPr>
          </w:p>
        </w:tc>
        <w:tc>
          <w:tcPr>
            <w:tcW w:w="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4A2F05">
            <w:pPr>
              <w:jc w:val="center"/>
              <w:rPr>
                <w:rFonts w:hint="eastAsia" w:ascii="宋体" w:hAnsi="宋体" w:eastAsia="宋体" w:cs="宋体"/>
                <w:b/>
                <w:bCs/>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09EE1C">
            <w:pPr>
              <w:jc w:val="center"/>
              <w:rPr>
                <w:rFonts w:hint="eastAsia" w:ascii="宋体" w:hAnsi="宋体" w:eastAsia="宋体" w:cs="宋体"/>
                <w:b/>
                <w:bCs/>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73076">
            <w:pPr>
              <w:jc w:val="center"/>
              <w:rPr>
                <w:rFonts w:hint="eastAsia" w:ascii="宋体" w:hAnsi="宋体" w:eastAsia="宋体" w:cs="宋体"/>
                <w:b/>
                <w:bCs/>
                <w:i w:val="0"/>
                <w:iCs w:val="0"/>
                <w:color w:val="000000"/>
                <w:sz w:val="20"/>
                <w:szCs w:val="20"/>
                <w:u w:val="none"/>
              </w:rPr>
            </w:pPr>
          </w:p>
        </w:tc>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3264D">
            <w:pPr>
              <w:jc w:val="center"/>
              <w:rPr>
                <w:rFonts w:hint="eastAsia" w:ascii="宋体" w:hAnsi="宋体" w:eastAsia="宋体" w:cs="宋体"/>
                <w:b/>
                <w:bCs/>
                <w:i w:val="0"/>
                <w:iCs w:val="0"/>
                <w:color w:val="000000"/>
                <w:sz w:val="20"/>
                <w:szCs w:val="20"/>
                <w:u w:val="none"/>
              </w:rPr>
            </w:pPr>
          </w:p>
        </w:tc>
        <w:tc>
          <w:tcPr>
            <w:tcW w:w="1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93E05">
            <w:pPr>
              <w:jc w:val="center"/>
              <w:rPr>
                <w:rFonts w:hint="eastAsia" w:ascii="宋体" w:hAnsi="宋体" w:eastAsia="宋体" w:cs="宋体"/>
                <w:b/>
                <w:bCs/>
                <w:i w:val="0"/>
                <w:iCs w:val="0"/>
                <w:color w:val="000000"/>
                <w:sz w:val="20"/>
                <w:szCs w:val="20"/>
                <w:u w:val="none"/>
              </w:rPr>
            </w:pPr>
          </w:p>
        </w:tc>
      </w:tr>
      <w:tr w14:paraId="087B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028F0B3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894BF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49BBE41">
            <w:pPr>
              <w:jc w:val="center"/>
              <w:rPr>
                <w:rFonts w:hint="eastAsia" w:ascii="宋体" w:hAnsi="宋体" w:eastAsia="宋体" w:cs="宋体"/>
                <w:b/>
                <w:bCs/>
                <w:i w:val="0"/>
                <w:iCs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noWrap w:val="0"/>
            <w:vAlign w:val="center"/>
          </w:tcPr>
          <w:p w14:paraId="774966AB">
            <w:pPr>
              <w:jc w:val="center"/>
              <w:rPr>
                <w:rFonts w:hint="eastAsia" w:ascii="宋体" w:hAnsi="宋体" w:eastAsia="宋体" w:cs="宋体"/>
                <w:b/>
                <w:bCs/>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2891B53">
            <w:pPr>
              <w:jc w:val="center"/>
              <w:rPr>
                <w:rFonts w:hint="eastAsia" w:ascii="宋体" w:hAnsi="宋体" w:eastAsia="宋体" w:cs="宋体"/>
                <w:b/>
                <w:bCs/>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31969E1">
            <w:pPr>
              <w:jc w:val="center"/>
              <w:rPr>
                <w:rFonts w:hint="eastAsia" w:ascii="宋体" w:hAnsi="宋体" w:eastAsia="宋体" w:cs="宋体"/>
                <w:b/>
                <w:bCs/>
                <w:i w:val="0"/>
                <w:iCs w:val="0"/>
                <w:color w:val="000000"/>
                <w:sz w:val="20"/>
                <w:szCs w:val="20"/>
                <w:u w:val="none"/>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07258841">
            <w:pPr>
              <w:jc w:val="center"/>
              <w:rPr>
                <w:rFonts w:hint="eastAsia" w:ascii="宋体" w:hAnsi="宋体" w:eastAsia="宋体" w:cs="宋体"/>
                <w:b/>
                <w:bCs/>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14:paraId="10F4EBE6">
            <w:pPr>
              <w:jc w:val="center"/>
              <w:rPr>
                <w:rFonts w:hint="eastAsia" w:ascii="宋体" w:hAnsi="宋体" w:eastAsia="宋体" w:cs="宋体"/>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1F1617C">
            <w:pPr>
              <w:jc w:val="center"/>
              <w:rPr>
                <w:rFonts w:hint="eastAsia" w:ascii="宋体" w:hAnsi="宋体" w:eastAsia="宋体" w:cs="宋体"/>
                <w:b/>
                <w:bCs/>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127D342B">
            <w:pPr>
              <w:jc w:val="center"/>
              <w:rPr>
                <w:rFonts w:hint="eastAsia" w:ascii="宋体" w:hAnsi="宋体" w:eastAsia="宋体" w:cs="宋体"/>
                <w:b/>
                <w:bCs/>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5545D6F">
            <w:pPr>
              <w:jc w:val="center"/>
              <w:rPr>
                <w:rFonts w:hint="eastAsia" w:ascii="宋体" w:hAnsi="宋体" w:eastAsia="宋体" w:cs="宋体"/>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1551EAD">
            <w:pPr>
              <w:jc w:val="center"/>
              <w:rPr>
                <w:rFonts w:hint="eastAsia" w:ascii="宋体" w:hAnsi="宋体" w:eastAsia="宋体" w:cs="宋体"/>
                <w:b/>
                <w:bCs/>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D5FB1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14:paraId="7DD769D3">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w:t>
            </w:r>
          </w:p>
        </w:tc>
      </w:tr>
      <w:tr w14:paraId="5CFE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248DB1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CFA07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51ABA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3" w:type="pct"/>
            <w:tcBorders>
              <w:top w:val="single" w:color="000000" w:sz="4" w:space="0"/>
              <w:left w:val="single" w:color="000000" w:sz="4" w:space="0"/>
              <w:bottom w:val="single" w:color="000000" w:sz="4" w:space="0"/>
              <w:right w:val="single" w:color="000000" w:sz="4" w:space="0"/>
            </w:tcBorders>
            <w:noWrap w:val="0"/>
            <w:vAlign w:val="center"/>
          </w:tcPr>
          <w:p w14:paraId="12512A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CDB8C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E3D9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7F7312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6A09DF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D7BB5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D07E8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E257A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C77A9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4BA98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14:paraId="03A89A9E">
            <w:pPr>
              <w:ind w:left="0" w:leftChars="0" w:firstLine="0" w:firstLineChars="0"/>
              <w:jc w:val="center"/>
              <w:rPr>
                <w:rFonts w:hint="eastAsia" w:ascii="宋体" w:hAnsi="宋体" w:eastAsia="宋体" w:cs="宋体"/>
                <w:b/>
                <w:bCs/>
                <w:i w:val="0"/>
                <w:iCs w:val="0"/>
                <w:color w:val="000000"/>
                <w:sz w:val="20"/>
                <w:szCs w:val="20"/>
                <w:u w:val="none"/>
                <w:lang w:val="en-US" w:eastAsia="zh-CN"/>
              </w:rPr>
            </w:pPr>
          </w:p>
        </w:tc>
      </w:tr>
      <w:tr w14:paraId="57CA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14"/>
            <w:tcBorders>
              <w:top w:val="single" w:color="000000" w:sz="4" w:space="0"/>
              <w:left w:val="single" w:color="000000" w:sz="4" w:space="0"/>
              <w:bottom w:val="single" w:color="000000" w:sz="4" w:space="0"/>
              <w:right w:val="single" w:color="000000" w:sz="4" w:space="0"/>
            </w:tcBorders>
            <w:noWrap/>
            <w:vAlign w:val="center"/>
          </w:tcPr>
          <w:p w14:paraId="7C85855D">
            <w:pPr>
              <w:ind w:left="0" w:leftChars="0" w:firstLine="0" w:firstLineChars="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4"/>
                <w:szCs w:val="24"/>
                <w:u w:val="none"/>
                <w:lang w:val="en-US" w:eastAsia="zh-CN"/>
              </w:rPr>
              <w:t>备注：本表格为示意，最后根据中标单位的投标文件内容补充完成</w:t>
            </w:r>
          </w:p>
        </w:tc>
      </w:tr>
      <w:permEnd w:id="38"/>
    </w:tbl>
    <w:p w14:paraId="41BCF0A5">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第六条 甲方的权利和义务</w:t>
      </w:r>
    </w:p>
    <w:p w14:paraId="7F721AB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6.1 合同签订后，甲方向乙方下达监测任务及技术要求，并提供图纸等相关资料。</w:t>
      </w:r>
    </w:p>
    <w:p w14:paraId="76E9FA2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6.2 应当保证乙方的监测队伍顺利进入现场工作，并对乙方进场人员的工作提供必要的条件。</w:t>
      </w:r>
    </w:p>
    <w:p w14:paraId="3474FEF0">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6.3 甲方有权监督乙方工作，并有权自行审核或提交相关政府部门审核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乙方所提交的</w:t>
      </w:r>
      <w:r>
        <w:rPr>
          <w:rFonts w:hint="eastAsia" w:ascii="仿宋" w:hAnsi="仿宋" w:eastAsia="仿宋" w:cs="仿宋"/>
          <w:sz w:val="28"/>
          <w:szCs w:val="28"/>
          <w:u w:val="none"/>
        </w:rPr>
        <w:t>监测数据或</w:t>
      </w:r>
      <w:r>
        <w:rPr>
          <w:rFonts w:hint="eastAsia" w:ascii="仿宋" w:hAnsi="仿宋" w:eastAsia="仿宋" w:cs="仿宋"/>
          <w:sz w:val="28"/>
          <w:szCs w:val="28"/>
        </w:rPr>
        <w:t>成果，并提出书面异议和修改意见。</w:t>
      </w:r>
    </w:p>
    <w:p w14:paraId="066D6186">
      <w:pPr>
        <w:keepNext w:val="0"/>
        <w:keepLines w:val="0"/>
        <w:pageBreakBefore w:val="0"/>
        <w:kinsoku/>
        <w:wordWrap/>
        <w:overflowPunct/>
        <w:topLinePunct w:val="0"/>
        <w:autoSpaceDE/>
        <w:autoSpaceDN/>
        <w:bidi w:val="0"/>
        <w:snapToGrid/>
        <w:spacing w:line="360" w:lineRule="auto"/>
        <w:ind w:firstLine="481" w:firstLineChars="171"/>
        <w:rPr>
          <w:rFonts w:hint="eastAsia" w:ascii="仿宋" w:hAnsi="仿宋" w:eastAsia="仿宋" w:cs="仿宋"/>
          <w:b/>
          <w:sz w:val="28"/>
          <w:szCs w:val="28"/>
        </w:rPr>
      </w:pPr>
      <w:r>
        <w:rPr>
          <w:rFonts w:hint="eastAsia" w:ascii="仿宋" w:hAnsi="仿宋" w:eastAsia="仿宋" w:cs="仿宋"/>
          <w:b/>
          <w:sz w:val="28"/>
          <w:szCs w:val="28"/>
        </w:rPr>
        <w:t>第七条 乙方的权利和义务</w:t>
      </w:r>
    </w:p>
    <w:p w14:paraId="2889470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 乙方应仔细阅读甲方提供的有关资料，并进行现场勘察，如发生资料和数据有误或者疑问的，乙方需在收到甲方提供的相关资料后</w:t>
      </w:r>
      <w:r>
        <w:rPr>
          <w:rFonts w:hint="eastAsia" w:ascii="仿宋" w:hAnsi="仿宋" w:eastAsia="仿宋" w:cs="仿宋"/>
          <w:sz w:val="28"/>
          <w:szCs w:val="28"/>
          <w:u w:val="single"/>
        </w:rPr>
        <w:t>5</w:t>
      </w:r>
      <w:r>
        <w:rPr>
          <w:rFonts w:hint="eastAsia" w:ascii="仿宋" w:hAnsi="仿宋" w:eastAsia="仿宋" w:cs="仿宋"/>
          <w:sz w:val="28"/>
          <w:szCs w:val="28"/>
        </w:rPr>
        <w:t>日历天内向甲方提出或询问，否则引起的责任由乙方承担。</w:t>
      </w:r>
    </w:p>
    <w:p w14:paraId="130B26F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7.2自收到甲方的有关资料和技术要求之日起，根据甲方的有关资料和技术要求于</w:t>
      </w:r>
      <w:r>
        <w:rPr>
          <w:rFonts w:hint="eastAsia" w:ascii="仿宋" w:hAnsi="仿宋" w:eastAsia="仿宋" w:cs="仿宋"/>
          <w:sz w:val="28"/>
          <w:szCs w:val="28"/>
          <w:u w:val="single"/>
        </w:rPr>
        <w:t>3</w:t>
      </w:r>
      <w:r>
        <w:rPr>
          <w:rFonts w:hint="eastAsia" w:ascii="仿宋" w:hAnsi="仿宋" w:eastAsia="仿宋" w:cs="仿宋"/>
          <w:sz w:val="28"/>
          <w:szCs w:val="28"/>
        </w:rPr>
        <w:t>日历天内组织监测队伍进场作业。</w:t>
      </w:r>
    </w:p>
    <w:p w14:paraId="49CD2DE1">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7.3 乙方应按国家技术规范、标准、规程和甲方的任务委托书及技术要求进行监测，按本合同规定的时间提交监测成果，并符合甲方的使用要求，以及符合本项目所需的深度，并对成果的真实性、准确性、可执行性及结论性负责。</w:t>
      </w:r>
    </w:p>
    <w:p w14:paraId="39707CC4">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 xml:space="preserve">7.4乙方不得将本合同标的全部或部分转包、分包给第三方。 </w:t>
      </w:r>
    </w:p>
    <w:p w14:paraId="0AB09F5F">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7.5 乙方应对监测成果出现的遗漏或者错误负责修改或补充（不另计费用），因此造成时间延误和质量问题的，由乙方承担相关责任。</w:t>
      </w:r>
    </w:p>
    <w:p w14:paraId="2CBA0E2F">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7.6 乙方不得向第三方扩散、转让甲方提供的图纸等技术经济材料，并按本合同约定承担保密义务。如发生以上情况，甲方有权</w:t>
      </w:r>
      <w:r>
        <w:rPr>
          <w:rFonts w:hint="eastAsia" w:ascii="仿宋" w:hAnsi="仿宋" w:eastAsia="仿宋" w:cs="仿宋"/>
          <w:sz w:val="28"/>
          <w:szCs w:val="28"/>
          <w:lang w:val="en-US" w:eastAsia="zh-CN"/>
        </w:rPr>
        <w:t>向乙方</w:t>
      </w:r>
      <w:r>
        <w:rPr>
          <w:rFonts w:hint="eastAsia" w:ascii="仿宋" w:hAnsi="仿宋" w:eastAsia="仿宋" w:cs="仿宋"/>
          <w:sz w:val="28"/>
          <w:szCs w:val="28"/>
        </w:rPr>
        <w:t>索赔</w:t>
      </w:r>
      <w:r>
        <w:rPr>
          <w:rFonts w:hint="eastAsia" w:ascii="仿宋" w:hAnsi="仿宋" w:eastAsia="仿宋" w:cs="仿宋"/>
          <w:sz w:val="28"/>
          <w:szCs w:val="28"/>
          <w:lang w:eastAsia="zh-CN"/>
        </w:rPr>
        <w:t>。</w:t>
      </w:r>
    </w:p>
    <w:p w14:paraId="1116CB93">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7.7环境保护：对参与生产的员工进行生产环境保护教育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合同履行过程中因环境问题发生的一切损失（包括但不限于行政处罚、甲方信誉损失、甲方直接或间接经济损失）均由乙方承担</w:t>
      </w:r>
      <w:r>
        <w:rPr>
          <w:rFonts w:hint="eastAsia" w:ascii="仿宋" w:hAnsi="仿宋" w:eastAsia="仿宋" w:cs="仿宋"/>
          <w:sz w:val="28"/>
          <w:szCs w:val="28"/>
        </w:rPr>
        <w:t>。</w:t>
      </w:r>
    </w:p>
    <w:p w14:paraId="44038955">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8</w:t>
      </w:r>
      <w:r>
        <w:rPr>
          <w:rFonts w:hint="eastAsia" w:ascii="仿宋" w:hAnsi="仿宋" w:eastAsia="仿宋" w:cs="仿宋"/>
          <w:sz w:val="28"/>
          <w:szCs w:val="28"/>
        </w:rPr>
        <w:t>乙方在基坑开挖前须向甲方提交系统的监测方案，监测方案应包括监测项目、监测方法及精度要求、监测点的布置、监测周期、监控时间、工序管理和记录制度、报警标准以及信息反馈系统等，监测方案需经专家组评审通过，并由监理单位、甲方审批。每次监测外业完成后，乙方应于24小时内向甲方、监理单位提供监测报告一式四份；乙方监测发现有危险征兆时，应立即向施工总承包单位、监理单位及甲方报告预警并提出措施建议；在全部监测工程完成后，乙方将整套监测成果及数据处理的结果、结论移交甲方，一式八份，并附电子文档（U盘和光盘各一份）。</w:t>
      </w:r>
    </w:p>
    <w:p w14:paraId="11545B1B">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乙方保证其所提供的成果内容，不含任何违法或侵犯任何第三方的合法利益内容，不存在知识产权纠纷，否则除返还甲方已支付的合同费用外，同时还应按本合同约定承担违约责任及赔偿责任。</w:t>
      </w:r>
    </w:p>
    <w:p w14:paraId="6EB69694">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乙方应严格根据国家、地区及行业的有关政策、法规及规范要求，按时向甲方交付监测成果并严格控制质量，交付检测成果后应按甲方要求参加有关的书面审查。如果乙方提交的检测成果未被甲方或上级单位（或地区政府相关主管部门）认可，则乙方应继续修改并提交甲方，直至被甲方或上级单位（或地区政府相关主管部门）认可通过为止，此过程乙方不再另行收费。</w:t>
      </w:r>
    </w:p>
    <w:p w14:paraId="1E1CD51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如因监测成果不准确造成的法律责任，全部由乙方承担，造成甲方损失以及甲方向第三方支付的额外费用（包括但不限于违约金、赔偿金或另行委托的费用），最终均由乙方负担。</w:t>
      </w:r>
    </w:p>
    <w:p w14:paraId="69F543CD">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乙方须踏勘甲方所提供的及本合同载明的场地和地点、周围环境及了解资料，掌握所有与本合同履行有关的情况，合同签订后乙方以不清楚场地或环境以及其他理由为借口提出的任何索赔及实际工作量的增加均不予考虑。</w:t>
      </w:r>
    </w:p>
    <w:p w14:paraId="32765419">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乙方应在收到甲方书面提出的建议或者异议后2日内给予书面答复。</w:t>
      </w:r>
    </w:p>
    <w:p w14:paraId="77CE10D3">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乙方为履行本合同而支出的购买版权费等，由乙方自费向有关出版部门购买。</w:t>
      </w:r>
    </w:p>
    <w:p w14:paraId="7BFE827D">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第八条 监测项目计划服务期</w:t>
      </w:r>
    </w:p>
    <w:p w14:paraId="08386E41">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8.1 本项目计划</w:t>
      </w:r>
      <w:bookmarkStart w:id="4" w:name="_Hlk72918713"/>
      <w:r>
        <w:rPr>
          <w:rFonts w:hint="eastAsia" w:ascii="仿宋" w:hAnsi="仿宋" w:eastAsia="仿宋" w:cs="仿宋"/>
          <w:bCs/>
          <w:sz w:val="28"/>
          <w:szCs w:val="28"/>
        </w:rPr>
        <w:t>服务期</w:t>
      </w:r>
      <w:bookmarkEnd w:id="4"/>
      <w:r>
        <w:rPr>
          <w:rFonts w:hint="eastAsia" w:ascii="仿宋" w:hAnsi="仿宋" w:eastAsia="仿宋" w:cs="仿宋"/>
          <w:sz w:val="28"/>
          <w:szCs w:val="28"/>
        </w:rPr>
        <w:t>为:</w:t>
      </w:r>
      <w:r>
        <w:rPr>
          <w:rFonts w:hint="eastAsia" w:ascii="仿宋" w:hAnsi="仿宋" w:eastAsia="仿宋" w:cs="仿宋"/>
          <w:sz w:val="28"/>
          <w:szCs w:val="28"/>
          <w:u w:val="single"/>
        </w:rPr>
        <w:t>服务期至满足项目监测规范及设计要求需要周期。</w:t>
      </w:r>
      <w:r>
        <w:rPr>
          <w:rFonts w:hint="eastAsia" w:ascii="仿宋" w:hAnsi="仿宋" w:eastAsia="仿宋" w:cs="仿宋"/>
          <w:sz w:val="28"/>
          <w:szCs w:val="28"/>
        </w:rPr>
        <w:t>具体监测时间以甲方下达的监测通知书规定的时间为准。</w:t>
      </w:r>
    </w:p>
    <w:p w14:paraId="5BAD47DF">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8.2 如遇特殊情况（设计变更、工作量变化、不可抗力影响以及非乙方原因造成的停等）时，服务期顺延。</w:t>
      </w:r>
    </w:p>
    <w:p w14:paraId="4722831F">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第九条 成果交付</w:t>
      </w:r>
    </w:p>
    <w:p w14:paraId="6115CF9F">
      <w:pPr>
        <w:keepNext w:val="0"/>
        <w:keepLines w:val="0"/>
        <w:pageBreakBefore w:val="0"/>
        <w:kinsoku/>
        <w:wordWrap/>
        <w:overflowPunct/>
        <w:topLinePunct w:val="0"/>
        <w:autoSpaceDE/>
        <w:autoSpaceDN/>
        <w:bidi w:val="0"/>
        <w:snapToGrid/>
        <w:spacing w:line="360" w:lineRule="auto"/>
        <w:ind w:firstLine="537" w:firstLineChars="192"/>
        <w:rPr>
          <w:rFonts w:hint="default" w:ascii="仿宋" w:hAnsi="仿宋" w:eastAsia="仿宋" w:cs="仿宋"/>
          <w:sz w:val="28"/>
          <w:szCs w:val="28"/>
          <w:lang w:val="en-US" w:eastAsia="zh-CN"/>
        </w:rPr>
      </w:pPr>
      <w:r>
        <w:rPr>
          <w:rFonts w:hint="eastAsia" w:ascii="仿宋" w:hAnsi="仿宋" w:eastAsia="仿宋" w:cs="仿宋"/>
          <w:sz w:val="28"/>
          <w:szCs w:val="28"/>
        </w:rPr>
        <w:t>乙方应按监测任务书、甲方要求及相关规范标准向甲方提供监测成果（包括但不限于预警报告、日报、周报、月报及监测总结报告）纸质版</w:t>
      </w:r>
      <w:permStart w:id="39" w:edGrp="everyone"/>
      <w:r>
        <w:rPr>
          <w:rFonts w:hint="eastAsia" w:ascii="仿宋" w:hAnsi="仿宋" w:eastAsia="仿宋" w:cs="仿宋"/>
          <w:sz w:val="28"/>
          <w:szCs w:val="28"/>
          <w:u w:val="single"/>
        </w:rPr>
        <w:t>一式</w:t>
      </w:r>
      <w:r>
        <w:rPr>
          <w:rFonts w:hint="eastAsia" w:ascii="仿宋" w:hAnsi="仿宋" w:eastAsia="仿宋" w:cs="仿宋"/>
          <w:sz w:val="28"/>
          <w:szCs w:val="28"/>
          <w:u w:val="single"/>
          <w:lang w:val="en-US" w:eastAsia="zh-CN"/>
        </w:rPr>
        <w:t>捌</w:t>
      </w:r>
      <w:permEnd w:id="39"/>
      <w:r>
        <w:rPr>
          <w:rFonts w:hint="eastAsia" w:ascii="仿宋" w:hAnsi="仿宋" w:eastAsia="仿宋" w:cs="仿宋"/>
          <w:sz w:val="28"/>
          <w:szCs w:val="28"/>
        </w:rPr>
        <w:t>份，并附电子文档（U盘和光盘各一份）。</w:t>
      </w:r>
      <w:r>
        <w:rPr>
          <w:rFonts w:hint="eastAsia" w:ascii="仿宋" w:hAnsi="仿宋" w:eastAsia="仿宋" w:cs="仿宋"/>
          <w:sz w:val="28"/>
          <w:szCs w:val="28"/>
          <w:lang w:val="en-US" w:eastAsia="zh-CN"/>
        </w:rPr>
        <w:t>由此产生的工本费由乙方承担。</w:t>
      </w:r>
    </w:p>
    <w:p w14:paraId="43144C92">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乙方交付的监测成果，知识产权属于甲方所有。乙方向甲方提交监测成果，包括但不限于以下内容：</w:t>
      </w:r>
    </w:p>
    <w:p w14:paraId="37DE8F54">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（1）预警报告、日报、周报、月报及监测总结报告</w:t>
      </w:r>
      <w:r>
        <w:rPr>
          <w:rFonts w:hint="eastAsia" w:ascii="仿宋" w:hAnsi="仿宋" w:cs="仿宋"/>
          <w:kern w:val="2"/>
          <w:sz w:val="28"/>
          <w:szCs w:val="28"/>
          <w:lang w:eastAsia="zh-CN"/>
        </w:rPr>
        <w:t>；</w:t>
      </w:r>
    </w:p>
    <w:p w14:paraId="5860F91D">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（2）沉降观测点沉降观测成果统计表</w:t>
      </w:r>
      <w:r>
        <w:rPr>
          <w:rFonts w:hint="eastAsia" w:ascii="仿宋" w:hAnsi="仿宋" w:cs="仿宋"/>
          <w:kern w:val="2"/>
          <w:sz w:val="28"/>
          <w:szCs w:val="28"/>
          <w:lang w:eastAsia="zh-CN"/>
        </w:rPr>
        <w:t>；</w:t>
      </w:r>
    </w:p>
    <w:p w14:paraId="5E2FEAA6">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（3）沉降观测点分布及各周期沉降量展开图；</w:t>
      </w:r>
    </w:p>
    <w:p w14:paraId="15FC09ED">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（4）沉降速度-时间-沉降量（v-t-s）曲线图；</w:t>
      </w:r>
    </w:p>
    <w:p w14:paraId="48C9142B">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（5）荷载-时间-沉降量（p-t-s）曲线图；</w:t>
      </w:r>
    </w:p>
    <w:p w14:paraId="5DB09CAA">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（6）建筑物等沉降曲线图</w:t>
      </w:r>
      <w:r>
        <w:rPr>
          <w:rFonts w:hint="eastAsia" w:ascii="仿宋" w:hAnsi="仿宋" w:cs="仿宋"/>
          <w:kern w:val="2"/>
          <w:sz w:val="28"/>
          <w:szCs w:val="28"/>
          <w:lang w:eastAsia="zh-CN"/>
        </w:rPr>
        <w:t>；</w:t>
      </w:r>
    </w:p>
    <w:p w14:paraId="51E4BC27">
      <w:pPr>
        <w:pStyle w:val="8"/>
        <w:keepNext w:val="0"/>
        <w:keepLines w:val="0"/>
        <w:pageBreakBefore w:val="0"/>
        <w:kinsoku/>
        <w:wordWrap/>
        <w:overflowPunct/>
        <w:topLinePunct w:val="0"/>
        <w:autoSpaceDE/>
        <w:autoSpaceDN/>
        <w:bidi w:val="0"/>
        <w:snapToGrid/>
        <w:spacing w:after="0" w:line="360" w:lineRule="auto"/>
        <w:ind w:left="0" w:leftChars="0"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（7）沉降观测分析报告</w:t>
      </w:r>
      <w:r>
        <w:rPr>
          <w:rFonts w:hint="eastAsia" w:ascii="仿宋" w:hAnsi="仿宋" w:cs="仿宋"/>
          <w:kern w:val="2"/>
          <w:sz w:val="28"/>
          <w:szCs w:val="28"/>
          <w:lang w:eastAsia="zh-CN"/>
        </w:rPr>
        <w:t>。</w:t>
      </w:r>
    </w:p>
    <w:p w14:paraId="0BCFDB8A">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第十条 成果验收</w:t>
      </w:r>
    </w:p>
    <w:p w14:paraId="5EB23845">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乙方应当根据相关规范、规程及甲方要求保证成果质量并按合同服务期完成本项目监测任务书所要求的相关工作。</w:t>
      </w:r>
    </w:p>
    <w:p w14:paraId="26B93994">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第十一条 甲方违约责任</w:t>
      </w:r>
    </w:p>
    <w:p w14:paraId="2B202B67">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11.1 由于甲方未给乙方提供必要的工作条件而造成停工或来回进出场地，服务期按实际工日顺延。甲方支付的违约金、赔偿金、利息等总额不超过</w:t>
      </w:r>
      <w:r>
        <w:rPr>
          <w:rFonts w:hint="eastAsia" w:ascii="仿宋" w:hAnsi="仿宋" w:eastAsia="仿宋" w:cs="仿宋"/>
          <w:sz w:val="28"/>
          <w:szCs w:val="28"/>
          <w:lang w:eastAsia="zh-CN"/>
        </w:rPr>
        <w:t>签约合同价</w:t>
      </w:r>
      <w:r>
        <w:rPr>
          <w:rFonts w:hint="eastAsia" w:ascii="仿宋" w:hAnsi="仿宋" w:eastAsia="仿宋" w:cs="仿宋"/>
          <w:sz w:val="28"/>
          <w:szCs w:val="28"/>
        </w:rPr>
        <w:t>的5%。</w:t>
      </w:r>
    </w:p>
    <w:p w14:paraId="7D360919">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第十二条 乙方违约责任</w:t>
      </w:r>
    </w:p>
    <w:p w14:paraId="485E2310">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12.1 合同签订后，如乙方擅自中途停止工作或，终止、解除合同，乙方应按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的20%向甲方支付违约金，并全额退还甲方已支付的全部费用。 </w:t>
      </w:r>
    </w:p>
    <w:p w14:paraId="5737EE64">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12.2 在甲方提供了必要的工作条件，并且保证了工程款按时到位，乙方未能按期交付监测成果时，应承担延期违约责任，每延期交付一日，按</w:t>
      </w:r>
      <w:r>
        <w:rPr>
          <w:rFonts w:hint="eastAsia" w:ascii="仿宋" w:hAnsi="仿宋" w:eastAsia="仿宋" w:cs="仿宋"/>
          <w:sz w:val="28"/>
          <w:szCs w:val="28"/>
          <w:lang w:eastAsia="zh-CN"/>
        </w:rPr>
        <w:t>签约合同价</w:t>
      </w:r>
      <w:r>
        <w:rPr>
          <w:rFonts w:hint="eastAsia" w:ascii="仿宋" w:hAnsi="仿宋" w:eastAsia="仿宋" w:cs="仿宋"/>
          <w:sz w:val="28"/>
          <w:szCs w:val="28"/>
        </w:rPr>
        <w:t>的0.3%向甲方支付违约金。逾期超过10天的，甲方有权单方解除本合同，乙方应按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的20%向甲方支付违约金，并全额退还甲方已支付的全部费用。</w:t>
      </w:r>
    </w:p>
    <w:p w14:paraId="4658A427">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12.3 乙方应保证监测数据准确、监测文件达到政府部门的备案要求，否则承担违约责任并赔偿损失。因乙方提供的监测成果资料不合格，乙方应负责无偿给予补充完善使其达到合格；若乙方无力补充完善，甲方有权解除本合同并另行委托其他单位，乙方退还全部监测费用，同时应承担全部另行委托费用，并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的20%向甲方支付违约金；甲方因乙方监测质量造成损失时，乙方应免收监测费，还应按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的20%向甲方支付违约金，违约金不能弥补甲方损失的，赔偿甲方实际损失。</w:t>
      </w:r>
    </w:p>
    <w:p w14:paraId="1D5032AB">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12.4 对于甲方提供的图纸和技术资料以及属于甲方的监测成果，乙方有保密义务，不得向第三人转让，否则，甲方有权要求乙方按本</w:t>
      </w:r>
      <w:r>
        <w:rPr>
          <w:rFonts w:hint="eastAsia" w:ascii="仿宋" w:hAnsi="仿宋" w:eastAsia="仿宋" w:cs="仿宋"/>
          <w:sz w:val="28"/>
          <w:szCs w:val="28"/>
          <w:lang w:eastAsia="zh-CN"/>
        </w:rPr>
        <w:t>签约合同价</w:t>
      </w:r>
      <w:r>
        <w:rPr>
          <w:rFonts w:hint="eastAsia" w:ascii="仿宋" w:hAnsi="仿宋" w:eastAsia="仿宋" w:cs="仿宋"/>
          <w:sz w:val="28"/>
          <w:szCs w:val="28"/>
        </w:rPr>
        <w:t>的20%支付违约金，违约金不能弥补由此给甲方造成的损失的，赔偿甲方实际损失。</w:t>
      </w:r>
    </w:p>
    <w:p w14:paraId="5BA60E04">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12.5 乙方擅自转包、分包（包括但不限于允许第三方加入本合同履行的）本合同标的的，甲方有权解除合同，并要求乙方按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的20%支付违约金，并全额退还甲方已支付的全部费用。 </w:t>
      </w:r>
    </w:p>
    <w:p w14:paraId="1BB1CF15">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第十三条 项目负责人</w:t>
      </w:r>
    </w:p>
    <w:p w14:paraId="202CDC2C">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13.1甲方项目负责人在以下工作范围内与乙方对接相关工作：</w:t>
      </w:r>
    </w:p>
    <w:p w14:paraId="62B11AF7">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甲方项目负责人：</w:t>
      </w:r>
      <w:permStart w:id="40"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40"/>
      <w:r>
        <w:rPr>
          <w:rFonts w:hint="eastAsia" w:ascii="仿宋" w:hAnsi="仿宋" w:eastAsia="仿宋" w:cs="仿宋"/>
          <w:sz w:val="28"/>
          <w:szCs w:val="28"/>
        </w:rPr>
        <w:t>电话：</w:t>
      </w:r>
      <w:permStart w:id="41"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41"/>
      <w:r>
        <w:rPr>
          <w:rFonts w:hint="eastAsia" w:ascii="仿宋" w:hAnsi="仿宋" w:eastAsia="仿宋" w:cs="仿宋"/>
          <w:sz w:val="28"/>
          <w:szCs w:val="28"/>
        </w:rPr>
        <w:t xml:space="preserve">工作范围：接收乙方提交的发票和技术资料、签署结算单据，依据本合同约定处理索赔事宜。未取得甲方书面授权的人员所签署的任何文件、协议，以及获得授权的人员超越书面授权范围所签署的任何文件、协议，一概无效，且甲方对此不承担任何责任。 </w:t>
      </w:r>
    </w:p>
    <w:p w14:paraId="11484343">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13.2 乙方项目负责人在以下工作范围内与甲方对接相关工作：</w:t>
      </w:r>
    </w:p>
    <w:p w14:paraId="70221713">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乙方项目负责人：</w:t>
      </w:r>
      <w:permStart w:id="42"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42"/>
    </w:p>
    <w:p w14:paraId="04DA592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43"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ermEnd w:id="43"/>
    </w:p>
    <w:p w14:paraId="58D7C77B">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工作范围：签署结算单、签收甲方发出的各类通知、确认结算金额、变更合同条款、处理索赔事宜等。乙方及该负责人均应具备履行本合同所必备的资质或授权，负责人负责带领团队完成本合同服务。</w:t>
      </w:r>
    </w:p>
    <w:p w14:paraId="0E74EED8">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第十四条 不可抗力及通知与送达</w:t>
      </w:r>
    </w:p>
    <w:p w14:paraId="55BBC548">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由于不可抗力，致使合同无法履行时，双方应按有关法律规定及时协商处理。</w:t>
      </w:r>
    </w:p>
    <w:p w14:paraId="47682B92">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5E60CC5D">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甲方:</w:t>
      </w:r>
    </w:p>
    <w:p w14:paraId="5482C679">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permStart w:id="44" w:edGrp="everyone"/>
      <w:r>
        <w:rPr>
          <w:rFonts w:hint="eastAsia" w:ascii="仿宋" w:hAnsi="仿宋" w:eastAsia="仿宋" w:cs="仿宋"/>
          <w:sz w:val="28"/>
          <w:szCs w:val="28"/>
          <w:u w:val="single"/>
          <w:lang w:val="en-US" w:eastAsia="zh-CN"/>
        </w:rPr>
        <w:t xml:space="preserve">             </w:t>
      </w:r>
    </w:p>
    <w:permEnd w:id="44"/>
    <w:p w14:paraId="0AA959FD">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sz w:val="28"/>
          <w:szCs w:val="28"/>
          <w:u w:val="single"/>
          <w:lang w:val="en-US" w:eastAsia="zh-CN"/>
        </w:rPr>
      </w:pPr>
      <w:r>
        <w:rPr>
          <w:rFonts w:hint="eastAsia" w:ascii="仿宋" w:hAnsi="仿宋" w:eastAsia="仿宋" w:cs="仿宋"/>
          <w:bCs/>
          <w:sz w:val="28"/>
          <w:szCs w:val="28"/>
        </w:rPr>
        <w:t>电话：</w:t>
      </w:r>
      <w:permStart w:id="45" w:edGrp="everyone"/>
      <w:r>
        <w:rPr>
          <w:rFonts w:hint="eastAsia" w:ascii="仿宋" w:hAnsi="仿宋" w:eastAsia="仿宋" w:cs="仿宋"/>
          <w:sz w:val="28"/>
          <w:szCs w:val="28"/>
          <w:u w:val="single"/>
          <w:lang w:val="en-US" w:eastAsia="zh-CN"/>
        </w:rPr>
        <w:t xml:space="preserve">             </w:t>
      </w:r>
    </w:p>
    <w:permEnd w:id="45"/>
    <w:p w14:paraId="12874A91">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rPr>
      </w:pPr>
      <w:r>
        <w:rPr>
          <w:rFonts w:hint="eastAsia" w:ascii="仿宋" w:hAnsi="仿宋" w:eastAsia="仿宋" w:cs="仿宋"/>
          <w:bCs/>
          <w:sz w:val="28"/>
          <w:szCs w:val="28"/>
        </w:rPr>
        <w:t>送达地址：</w:t>
      </w:r>
      <w:permStart w:id="46" w:edGrp="everyone"/>
      <w:r>
        <w:rPr>
          <w:rFonts w:hint="eastAsia" w:ascii="仿宋" w:hAnsi="仿宋" w:eastAsia="仿宋" w:cs="仿宋"/>
          <w:sz w:val="28"/>
          <w:szCs w:val="28"/>
          <w:lang w:val="en-US" w:eastAsia="zh-CN"/>
        </w:rPr>
        <w:t xml:space="preserve">                      </w:t>
      </w:r>
    </w:p>
    <w:permEnd w:id="46"/>
    <w:p w14:paraId="26DF560F">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p>
    <w:p w14:paraId="2F23C66A">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乙方:</w:t>
      </w:r>
    </w:p>
    <w:p w14:paraId="21578C23">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permStart w:id="47" w:edGrp="everyone"/>
      <w:r>
        <w:rPr>
          <w:rFonts w:hint="eastAsia" w:ascii="仿宋" w:hAnsi="仿宋" w:eastAsia="仿宋" w:cs="仿宋"/>
          <w:bCs/>
          <w:sz w:val="28"/>
          <w:szCs w:val="28"/>
          <w:lang w:val="en-US" w:eastAsia="zh-CN"/>
        </w:rPr>
        <w:t xml:space="preserve">        </w:t>
      </w:r>
    </w:p>
    <w:permEnd w:id="47"/>
    <w:p w14:paraId="272582F5">
      <w:pPr>
        <w:keepNext w:val="0"/>
        <w:keepLines w:val="0"/>
        <w:pageBreakBefore w:val="0"/>
        <w:kinsoku/>
        <w:wordWrap/>
        <w:overflowPunct/>
        <w:topLinePunct w:val="0"/>
        <w:autoSpaceDE/>
        <w:autoSpaceDN/>
        <w:bidi w:val="0"/>
        <w:adjustRightInd w:val="0"/>
        <w:snapToGrid/>
        <w:spacing w:line="360" w:lineRule="auto"/>
        <w:ind w:firstLine="480"/>
        <w:rPr>
          <w:rFonts w:hint="default" w:ascii="仿宋" w:hAnsi="仿宋" w:eastAsia="仿宋" w:cs="仿宋"/>
          <w:bCs/>
          <w:sz w:val="28"/>
          <w:szCs w:val="28"/>
          <w:lang w:val="en-US" w:eastAsia="zh-CN"/>
        </w:rPr>
      </w:pPr>
      <w:r>
        <w:rPr>
          <w:rFonts w:hint="eastAsia" w:ascii="仿宋" w:hAnsi="仿宋" w:eastAsia="仿宋" w:cs="仿宋"/>
          <w:bCs/>
          <w:sz w:val="28"/>
          <w:szCs w:val="28"/>
        </w:rPr>
        <w:t>电话：</w:t>
      </w:r>
      <w:permStart w:id="48" w:edGrp="everyone"/>
      <w:r>
        <w:rPr>
          <w:rFonts w:hint="eastAsia" w:ascii="仿宋" w:hAnsi="仿宋" w:eastAsia="仿宋" w:cs="仿宋"/>
          <w:bCs/>
          <w:sz w:val="28"/>
          <w:szCs w:val="28"/>
          <w:lang w:val="en-US" w:eastAsia="zh-CN"/>
        </w:rPr>
        <w:t xml:space="preserve">            </w:t>
      </w:r>
    </w:p>
    <w:permEnd w:id="48"/>
    <w:p w14:paraId="211F4795">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送达地址：</w:t>
      </w:r>
      <w:permStart w:id="49" w:edGrp="everyone"/>
      <w:r>
        <w:rPr>
          <w:rFonts w:hint="eastAsia" w:ascii="仿宋" w:hAnsi="仿宋" w:eastAsia="仿宋" w:cs="仿宋"/>
          <w:bCs/>
          <w:sz w:val="28"/>
          <w:szCs w:val="28"/>
          <w:lang w:val="en-US" w:eastAsia="zh-CN"/>
        </w:rPr>
        <w:t xml:space="preserve">                   </w:t>
      </w:r>
      <w:permEnd w:id="49"/>
    </w:p>
    <w:p w14:paraId="5A5EE6FD">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任何一方变更本合同所示的项目联系人及联系方式，应提前5日书面通知对方，如未告知变更或告知有误、不准确，按前述地址发出后经过五日即视为有效送达并生效，由此产生的法律后果由变更方承担。</w:t>
      </w:r>
    </w:p>
    <w:p w14:paraId="0FB00A71">
      <w:pPr>
        <w:keepNext w:val="0"/>
        <w:keepLines w:val="0"/>
        <w:pageBreakBefore w:val="0"/>
        <w:kinsoku/>
        <w:wordWrap/>
        <w:overflowPunct/>
        <w:topLinePunct w:val="0"/>
        <w:autoSpaceDE/>
        <w:autoSpaceDN/>
        <w:bidi w:val="0"/>
        <w:adjustRightInd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第十五条 纠纷解决</w:t>
      </w:r>
    </w:p>
    <w:p w14:paraId="22A791B8">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合同实施或与合同有关的一切争议应通过双方友好协商解决。如果友好协商不能解决，作如下</w:t>
      </w:r>
      <w:r>
        <w:rPr>
          <w:rFonts w:hint="eastAsia" w:ascii="仿宋" w:hAnsi="仿宋" w:eastAsia="仿宋" w:cs="仿宋"/>
          <w:sz w:val="28"/>
          <w:szCs w:val="28"/>
          <w:u w:val="single"/>
        </w:rPr>
        <w:t xml:space="preserve"> （2） </w:t>
      </w:r>
      <w:r>
        <w:rPr>
          <w:rFonts w:hint="eastAsia" w:ascii="仿宋" w:hAnsi="仿宋" w:eastAsia="仿宋" w:cs="仿宋"/>
          <w:sz w:val="28"/>
          <w:szCs w:val="28"/>
        </w:rPr>
        <w:t>处理：</w:t>
      </w:r>
    </w:p>
    <w:p w14:paraId="2E3164E8">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海南国际仲裁院</w:t>
      </w:r>
      <w:r>
        <w:rPr>
          <w:rFonts w:hint="eastAsia" w:ascii="仿宋" w:hAnsi="仿宋" w:eastAsia="仿宋" w:cs="仿宋"/>
          <w:sz w:val="28"/>
          <w:szCs w:val="28"/>
        </w:rPr>
        <w:t>申请仲裁；</w:t>
      </w:r>
    </w:p>
    <w:p w14:paraId="0B9E3F76">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（2）向</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所在地有管辖权的</w:t>
      </w:r>
      <w:r>
        <w:rPr>
          <w:rFonts w:hint="eastAsia" w:ascii="仿宋" w:hAnsi="仿宋" w:eastAsia="仿宋" w:cs="仿宋"/>
          <w:sz w:val="28"/>
          <w:szCs w:val="28"/>
        </w:rPr>
        <w:t>人民法院起诉。</w:t>
      </w:r>
    </w:p>
    <w:p w14:paraId="7F40FEC8">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第十六条 未尽事宜</w:t>
      </w:r>
    </w:p>
    <w:p w14:paraId="629F399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本合同执行过程中的未尽事宜，双方应本着实事求是友好协商的态度加以解决。双方协调一致的，签订补充协议。补充协议与本合同具有同等效力。</w:t>
      </w:r>
    </w:p>
    <w:p w14:paraId="1E317C47">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sz w:val="28"/>
          <w:szCs w:val="28"/>
        </w:rPr>
      </w:pPr>
      <w:r>
        <w:rPr>
          <w:rFonts w:hint="eastAsia" w:ascii="仿宋" w:hAnsi="仿宋" w:eastAsia="仿宋" w:cs="仿宋"/>
          <w:b/>
          <w:sz w:val="28"/>
          <w:szCs w:val="28"/>
        </w:rPr>
        <w:t>第十七条合同生效及其他</w:t>
      </w:r>
    </w:p>
    <w:p w14:paraId="716667FE">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17.1.本合同由甲、乙双方法定代表人或其委托代理人签字盖章后生效，本合同一式</w:t>
      </w:r>
      <w:permStart w:id="50"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50"/>
      <w:r>
        <w:rPr>
          <w:rFonts w:hint="eastAsia" w:ascii="仿宋" w:hAnsi="仿宋" w:eastAsia="仿宋" w:cs="仿宋"/>
          <w:sz w:val="28"/>
          <w:szCs w:val="28"/>
        </w:rPr>
        <w:t>份，甲方执</w:t>
      </w:r>
      <w:permStart w:id="51"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51"/>
      <w:r>
        <w:rPr>
          <w:rFonts w:hint="eastAsia" w:ascii="仿宋" w:hAnsi="仿宋" w:eastAsia="仿宋" w:cs="仿宋"/>
          <w:sz w:val="28"/>
          <w:szCs w:val="28"/>
        </w:rPr>
        <w:t>份、乙方执</w:t>
      </w:r>
      <w:permStart w:id="52" w:edGrp="everyone"/>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ermEnd w:id="52"/>
      <w:r>
        <w:rPr>
          <w:rFonts w:hint="eastAsia" w:ascii="仿宋" w:hAnsi="仿宋" w:eastAsia="仿宋" w:cs="仿宋"/>
          <w:sz w:val="28"/>
          <w:szCs w:val="28"/>
        </w:rPr>
        <w:t>份，具同等法律效力。如本合同由委托代理人签署，还应提供法定代表人授权委托书；法定代表人、委托代理人身份证明及身份证复印件，上述文件均需加盖公章。</w:t>
      </w:r>
    </w:p>
    <w:p w14:paraId="47494F2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17.2合同附件（如有）是本合同不可分割的一部分，与合同具有同等法律效力。合同附件与合同正文冲突时，以合同正文条款为准。</w:t>
      </w:r>
    </w:p>
    <w:p w14:paraId="7DBBC3B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17.3本合同中有关知识产权、不侵权保证、保密、违约责任、争议解决的条款独立存在，合同的变更、解除、终止、无效或者被撤销均不影响其效力。</w:t>
      </w:r>
    </w:p>
    <w:p w14:paraId="2B3F0B4A">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17.4乙方确认，在签订本合同前已知晓本合同所涉及的项目，并充分熟悉本合同的文本含义，乙方已获相应授权且具备履行本合同的资质。</w:t>
      </w:r>
    </w:p>
    <w:p w14:paraId="0ADB6575">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17.5乙方被认定为中标无效的，本合同认定无效。</w:t>
      </w:r>
    </w:p>
    <w:p w14:paraId="38934B14">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17.6合同履行期间，乙方在本项目外出现失信行为或不良行为记录，且影响本合同履约的，甲方有权解除本合同。</w:t>
      </w:r>
    </w:p>
    <w:p w14:paraId="3C91D513">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第十八条附件</w:t>
      </w:r>
    </w:p>
    <w:p w14:paraId="32355BD9">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bookmarkStart w:id="5" w:name="_Hlk61872801"/>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廉政协议书</w:t>
      </w:r>
    </w:p>
    <w:p w14:paraId="7001B511">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保密承诺函</w:t>
      </w:r>
    </w:p>
    <w:bookmarkEnd w:id="5"/>
    <w:p w14:paraId="1770D102">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监测任务书</w:t>
      </w:r>
    </w:p>
    <w:p w14:paraId="5A60E9C5">
      <w:pPr>
        <w:ind w:firstLine="480"/>
        <w:rPr>
          <w:rFonts w:hint="eastAsia" w:ascii="仿宋" w:hAnsi="仿宋" w:eastAsia="仿宋" w:cs="仿宋"/>
          <w:sz w:val="24"/>
          <w:szCs w:val="24"/>
        </w:rPr>
      </w:pPr>
    </w:p>
    <w:p w14:paraId="5B304BB3">
      <w:pPr>
        <w:ind w:firstLine="480"/>
        <w:rPr>
          <w:rFonts w:hint="eastAsia" w:ascii="仿宋" w:hAnsi="仿宋" w:eastAsia="仿宋" w:cs="仿宋"/>
          <w:sz w:val="24"/>
          <w:szCs w:val="24"/>
        </w:rPr>
      </w:pPr>
    </w:p>
    <w:p w14:paraId="743CED8A">
      <w:pPr>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下一页为签署页，</w:t>
      </w:r>
      <w:r>
        <w:rPr>
          <w:rFonts w:hint="eastAsia" w:ascii="仿宋" w:hAnsi="仿宋" w:eastAsia="仿宋" w:cs="仿宋"/>
          <w:sz w:val="28"/>
          <w:szCs w:val="28"/>
        </w:rPr>
        <w:t>无正文）</w:t>
      </w:r>
    </w:p>
    <w:p w14:paraId="7F3EEA9B">
      <w:pPr>
        <w:widowControl/>
        <w:jc w:val="left"/>
        <w:rPr>
          <w:rFonts w:hint="eastAsia" w:ascii="仿宋" w:hAnsi="仿宋" w:eastAsia="仿宋" w:cs="仿宋"/>
          <w:sz w:val="24"/>
          <w:szCs w:val="24"/>
        </w:rPr>
      </w:pPr>
      <w:r>
        <w:rPr>
          <w:rFonts w:hint="eastAsia" w:ascii="仿宋" w:hAnsi="仿宋" w:eastAsia="仿宋" w:cs="仿宋"/>
          <w:sz w:val="24"/>
          <w:szCs w:val="24"/>
        </w:rPr>
        <w:br w:type="page"/>
      </w:r>
    </w:p>
    <w:tbl>
      <w:tblPr>
        <w:tblStyle w:val="10"/>
        <w:tblW w:w="940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00"/>
        <w:gridCol w:w="4700"/>
      </w:tblGrid>
      <w:tr w14:paraId="08CB2D9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71" w:hRule="atLeast"/>
          <w:jc w:val="center"/>
        </w:trPr>
        <w:tc>
          <w:tcPr>
            <w:tcW w:w="4700" w:type="dxa"/>
            <w:vAlign w:val="center"/>
          </w:tcPr>
          <w:p w14:paraId="00F60E67">
            <w:pPr>
              <w:widowControl/>
              <w:spacing w:line="240" w:lineRule="auto"/>
              <w:ind w:firstLine="0" w:firstLineChars="0"/>
              <w:jc w:val="left"/>
              <w:rPr>
                <w:rFonts w:hint="default" w:ascii="仿宋" w:hAnsi="仿宋" w:eastAsia="仿宋" w:cs="仿宋"/>
                <w:color w:val="000000"/>
                <w:sz w:val="28"/>
                <w:szCs w:val="28"/>
                <w:lang w:val="en-US" w:eastAsia="zh-CN" w:bidi="ar"/>
              </w:rPr>
            </w:pPr>
            <w:r>
              <w:rPr>
                <w:rFonts w:hint="eastAsia" w:ascii="仿宋" w:hAnsi="仿宋" w:eastAsia="仿宋" w:cs="仿宋"/>
                <w:b/>
                <w:sz w:val="28"/>
                <w:szCs w:val="28"/>
              </w:rPr>
              <w:t>甲方（</w:t>
            </w:r>
            <w:r>
              <w:rPr>
                <w:rFonts w:hint="eastAsia" w:ascii="仿宋" w:hAnsi="仿宋" w:eastAsia="仿宋" w:cs="仿宋"/>
                <w:b/>
                <w:sz w:val="28"/>
                <w:szCs w:val="28"/>
                <w:lang w:val="en-US" w:eastAsia="zh-CN"/>
              </w:rPr>
              <w:t>盖章</w:t>
            </w:r>
            <w:r>
              <w:rPr>
                <w:rFonts w:hint="eastAsia" w:ascii="仿宋" w:hAnsi="仿宋" w:eastAsia="仿宋" w:cs="仿宋"/>
                <w:b/>
                <w:sz w:val="28"/>
                <w:szCs w:val="28"/>
              </w:rPr>
              <w:t>）</w:t>
            </w:r>
            <w:r>
              <w:rPr>
                <w:rFonts w:hint="eastAsia" w:ascii="仿宋" w:hAnsi="仿宋" w:eastAsia="仿宋" w:cs="仿宋"/>
                <w:bCs/>
                <w:sz w:val="28"/>
                <w:szCs w:val="28"/>
              </w:rPr>
              <w:t>：</w:t>
            </w:r>
            <w:permStart w:id="53"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p>
          <w:permEnd w:id="53"/>
          <w:p w14:paraId="29C289F0">
            <w:pPr>
              <w:spacing w:line="360" w:lineRule="auto"/>
              <w:rPr>
                <w:rFonts w:hint="eastAsia" w:ascii="仿宋" w:hAnsi="仿宋" w:eastAsia="仿宋" w:cs="仿宋"/>
                <w:bCs/>
                <w:sz w:val="28"/>
                <w:szCs w:val="28"/>
              </w:rPr>
            </w:pPr>
          </w:p>
        </w:tc>
        <w:tc>
          <w:tcPr>
            <w:tcW w:w="4700" w:type="dxa"/>
            <w:vAlign w:val="top"/>
          </w:tcPr>
          <w:p w14:paraId="61E052BF">
            <w:pPr>
              <w:spacing w:line="360" w:lineRule="auto"/>
              <w:jc w:val="both"/>
              <w:rPr>
                <w:rFonts w:hint="eastAsia" w:ascii="仿宋" w:hAnsi="仿宋" w:eastAsia="仿宋" w:cs="仿宋"/>
                <w:bCs/>
                <w:sz w:val="28"/>
                <w:szCs w:val="28"/>
              </w:rPr>
            </w:pPr>
            <w:r>
              <w:rPr>
                <w:rFonts w:hint="eastAsia" w:ascii="仿宋" w:hAnsi="仿宋" w:eastAsia="仿宋" w:cs="仿宋"/>
                <w:b/>
                <w:sz w:val="28"/>
                <w:szCs w:val="28"/>
              </w:rPr>
              <w:t>乙方（</w:t>
            </w:r>
            <w:r>
              <w:rPr>
                <w:rFonts w:hint="eastAsia" w:ascii="仿宋" w:hAnsi="仿宋" w:eastAsia="仿宋" w:cs="仿宋"/>
                <w:b/>
                <w:sz w:val="28"/>
                <w:szCs w:val="28"/>
                <w:lang w:val="en-US" w:eastAsia="zh-CN"/>
              </w:rPr>
              <w:t>盖</w:t>
            </w:r>
            <w:r>
              <w:rPr>
                <w:rFonts w:hint="eastAsia" w:ascii="仿宋" w:hAnsi="仿宋" w:eastAsia="仿宋" w:cs="仿宋"/>
                <w:b/>
                <w:sz w:val="28"/>
                <w:szCs w:val="28"/>
              </w:rPr>
              <w:t>章）</w:t>
            </w:r>
            <w:r>
              <w:rPr>
                <w:rFonts w:hint="eastAsia" w:ascii="仿宋" w:hAnsi="仿宋" w:eastAsia="仿宋" w:cs="仿宋"/>
                <w:bCs/>
                <w:sz w:val="28"/>
                <w:szCs w:val="28"/>
              </w:rPr>
              <w:t>：</w:t>
            </w:r>
            <w:permStart w:id="54"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54"/>
          </w:p>
        </w:tc>
      </w:tr>
      <w:tr w14:paraId="381A25E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16" w:hRule="atLeast"/>
          <w:jc w:val="center"/>
        </w:trPr>
        <w:tc>
          <w:tcPr>
            <w:tcW w:w="4700" w:type="dxa"/>
            <w:vAlign w:val="center"/>
          </w:tcPr>
          <w:p w14:paraId="4A498D8A">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p>
          <w:p w14:paraId="72409550">
            <w:pPr>
              <w:spacing w:line="360" w:lineRule="auto"/>
              <w:rPr>
                <w:rFonts w:hint="eastAsia" w:ascii="仿宋" w:hAnsi="仿宋" w:eastAsia="仿宋" w:cs="仿宋"/>
                <w:bCs/>
                <w:sz w:val="28"/>
                <w:szCs w:val="28"/>
              </w:rPr>
            </w:pPr>
            <w:r>
              <w:rPr>
                <w:rFonts w:hint="eastAsia" w:ascii="仿宋" w:hAnsi="仿宋" w:eastAsia="仿宋" w:cs="仿宋"/>
                <w:b/>
                <w:sz w:val="28"/>
                <w:szCs w:val="28"/>
              </w:rPr>
              <w:t>（签字</w:t>
            </w:r>
            <w:r>
              <w:rPr>
                <w:rFonts w:hint="eastAsia" w:ascii="仿宋" w:hAnsi="仿宋" w:eastAsia="仿宋" w:cs="仿宋"/>
                <w:b/>
                <w:sz w:val="28"/>
                <w:szCs w:val="28"/>
                <w:lang w:val="en-US" w:eastAsia="zh-CN"/>
              </w:rPr>
              <w:t>或盖章</w:t>
            </w:r>
            <w:r>
              <w:rPr>
                <w:rFonts w:hint="eastAsia" w:ascii="仿宋" w:hAnsi="仿宋" w:eastAsia="仿宋" w:cs="仿宋"/>
                <w:b/>
                <w:sz w:val="28"/>
                <w:szCs w:val="28"/>
              </w:rPr>
              <w:t>）</w:t>
            </w:r>
          </w:p>
          <w:p w14:paraId="37EC5159">
            <w:pPr>
              <w:spacing w:line="360" w:lineRule="auto"/>
              <w:ind w:firstLine="480"/>
              <w:rPr>
                <w:rFonts w:hint="eastAsia" w:ascii="仿宋" w:hAnsi="仿宋" w:eastAsia="仿宋" w:cs="仿宋"/>
                <w:sz w:val="28"/>
                <w:szCs w:val="28"/>
              </w:rPr>
            </w:pPr>
          </w:p>
        </w:tc>
        <w:tc>
          <w:tcPr>
            <w:tcW w:w="4700" w:type="dxa"/>
            <w:vAlign w:val="center"/>
          </w:tcPr>
          <w:p w14:paraId="618C43FA">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p>
          <w:p w14:paraId="0A2477F0">
            <w:pPr>
              <w:spacing w:line="360" w:lineRule="auto"/>
              <w:rPr>
                <w:rFonts w:hint="eastAsia" w:ascii="仿宋" w:hAnsi="仿宋" w:eastAsia="仿宋" w:cs="仿宋"/>
                <w:bCs/>
                <w:sz w:val="28"/>
                <w:szCs w:val="28"/>
              </w:rPr>
            </w:pPr>
            <w:r>
              <w:rPr>
                <w:rFonts w:hint="eastAsia" w:ascii="仿宋" w:hAnsi="仿宋" w:eastAsia="仿宋" w:cs="仿宋"/>
                <w:b/>
                <w:sz w:val="28"/>
                <w:szCs w:val="28"/>
              </w:rPr>
              <w:t>（签字</w:t>
            </w:r>
            <w:r>
              <w:rPr>
                <w:rFonts w:hint="eastAsia" w:ascii="仿宋" w:hAnsi="仿宋" w:eastAsia="仿宋" w:cs="仿宋"/>
                <w:b/>
                <w:sz w:val="28"/>
                <w:szCs w:val="28"/>
                <w:lang w:val="en-US" w:eastAsia="zh-CN"/>
              </w:rPr>
              <w:t>或盖章</w:t>
            </w:r>
            <w:r>
              <w:rPr>
                <w:rFonts w:hint="eastAsia" w:ascii="仿宋" w:hAnsi="仿宋" w:eastAsia="仿宋" w:cs="仿宋"/>
                <w:b/>
                <w:sz w:val="28"/>
                <w:szCs w:val="28"/>
              </w:rPr>
              <w:t>）</w:t>
            </w:r>
          </w:p>
          <w:p w14:paraId="495CB6F5">
            <w:pPr>
              <w:spacing w:line="360" w:lineRule="auto"/>
              <w:ind w:firstLine="480"/>
              <w:rPr>
                <w:rFonts w:hint="eastAsia" w:ascii="仿宋" w:hAnsi="仿宋" w:eastAsia="仿宋" w:cs="仿宋"/>
                <w:sz w:val="28"/>
                <w:szCs w:val="28"/>
              </w:rPr>
            </w:pPr>
          </w:p>
        </w:tc>
      </w:tr>
      <w:tr w14:paraId="33B61BE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87" w:hRule="atLeast"/>
          <w:jc w:val="center"/>
        </w:trPr>
        <w:tc>
          <w:tcPr>
            <w:tcW w:w="4700" w:type="dxa"/>
            <w:vAlign w:val="center"/>
          </w:tcPr>
          <w:p w14:paraId="41871DFE">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p>
          <w:p w14:paraId="74D1C89B">
            <w:pPr>
              <w:spacing w:line="360" w:lineRule="auto"/>
              <w:rPr>
                <w:rFonts w:hint="eastAsia" w:ascii="仿宋" w:hAnsi="仿宋" w:eastAsia="仿宋" w:cs="仿宋"/>
                <w:b/>
                <w:sz w:val="28"/>
                <w:szCs w:val="28"/>
              </w:rPr>
            </w:pPr>
            <w:permStart w:id="55"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55"/>
          </w:p>
        </w:tc>
        <w:tc>
          <w:tcPr>
            <w:tcW w:w="4700" w:type="dxa"/>
            <w:vAlign w:val="center"/>
          </w:tcPr>
          <w:p w14:paraId="56B585C9">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r>
              <w:rPr>
                <w:rFonts w:hint="eastAsia" w:ascii="仿宋" w:hAnsi="仿宋" w:eastAsia="仿宋" w:cs="仿宋"/>
                <w:kern w:val="0"/>
                <w:sz w:val="28"/>
                <w:szCs w:val="28"/>
              </w:rPr>
              <w:t>：</w:t>
            </w:r>
          </w:p>
          <w:p w14:paraId="4E1805E3">
            <w:pPr>
              <w:spacing w:line="360" w:lineRule="auto"/>
              <w:rPr>
                <w:rFonts w:hint="eastAsia" w:ascii="仿宋" w:hAnsi="仿宋" w:eastAsia="仿宋" w:cs="仿宋"/>
                <w:bCs/>
                <w:sz w:val="28"/>
                <w:szCs w:val="28"/>
              </w:rPr>
            </w:pPr>
            <w:permStart w:id="56"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56"/>
          </w:p>
        </w:tc>
      </w:tr>
      <w:tr w14:paraId="5BECCF3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14:paraId="234C6EF0">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7" w:edGrp="everyone"/>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57"/>
            <w:r>
              <w:rPr>
                <w:rFonts w:hint="eastAsia" w:ascii="仿宋" w:hAnsi="仿宋" w:eastAsia="仿宋" w:cs="仿宋"/>
                <w:sz w:val="28"/>
                <w:szCs w:val="28"/>
              </w:rPr>
              <w:t xml:space="preserve"> </w:t>
            </w:r>
          </w:p>
        </w:tc>
        <w:tc>
          <w:tcPr>
            <w:tcW w:w="4700" w:type="dxa"/>
            <w:vAlign w:val="center"/>
          </w:tcPr>
          <w:p w14:paraId="7B243EF1">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8"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58"/>
            <w:r>
              <w:rPr>
                <w:rFonts w:hint="eastAsia" w:ascii="仿宋" w:hAnsi="仿宋" w:eastAsia="仿宋" w:cs="仿宋"/>
                <w:sz w:val="28"/>
                <w:szCs w:val="28"/>
              </w:rPr>
              <w:t xml:space="preserve"> </w:t>
            </w:r>
          </w:p>
        </w:tc>
      </w:tr>
      <w:tr w14:paraId="32645DF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14:paraId="5C673D04">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59" w:edGrp="everyone"/>
            <w:r>
              <w:rPr>
                <w:rFonts w:hint="eastAsia" w:ascii="仿宋" w:hAnsi="仿宋" w:eastAsia="仿宋" w:cs="仿宋"/>
                <w:color w:val="000000"/>
                <w:sz w:val="28"/>
                <w:szCs w:val="28"/>
                <w:lang w:val="en-US" w:eastAsia="zh-CN" w:bidi="ar"/>
              </w:rPr>
              <w:t xml:space="preserve">         </w:t>
            </w:r>
            <w:r>
              <w:rPr>
                <w:rFonts w:hint="eastAsia" w:ascii="仿宋" w:hAnsi="仿宋" w:eastAsia="仿宋" w:cs="仿宋"/>
                <w:sz w:val="28"/>
                <w:szCs w:val="28"/>
              </w:rPr>
              <w:t xml:space="preserve"> </w:t>
            </w:r>
            <w:permEnd w:id="59"/>
          </w:p>
        </w:tc>
        <w:tc>
          <w:tcPr>
            <w:tcW w:w="4700" w:type="dxa"/>
            <w:vAlign w:val="center"/>
          </w:tcPr>
          <w:p w14:paraId="1869DBB2">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60"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0"/>
          </w:p>
        </w:tc>
      </w:tr>
      <w:tr w14:paraId="7BD339F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14:paraId="074033CB">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1" w:edGrp="everyone"/>
            <w:r>
              <w:rPr>
                <w:rFonts w:hint="eastAsia" w:ascii="仿宋" w:hAnsi="仿宋" w:eastAsia="仿宋" w:cs="仿宋"/>
                <w:sz w:val="28"/>
                <w:szCs w:val="28"/>
                <w:lang w:val="en-US" w:eastAsia="zh-CN"/>
              </w:rPr>
              <w:t xml:space="preserve">         </w:t>
            </w:r>
            <w:permEnd w:id="61"/>
          </w:p>
        </w:tc>
        <w:tc>
          <w:tcPr>
            <w:tcW w:w="4700" w:type="dxa"/>
            <w:vAlign w:val="center"/>
          </w:tcPr>
          <w:p w14:paraId="03B3507A">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2"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2"/>
          </w:p>
        </w:tc>
      </w:tr>
      <w:tr w14:paraId="71AB213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14:paraId="16261E18">
            <w:pPr>
              <w:spacing w:line="360" w:lineRule="auto"/>
              <w:rPr>
                <w:rFonts w:hint="eastAsia" w:ascii="仿宋" w:hAnsi="仿宋" w:eastAsia="仿宋" w:cs="仿宋"/>
                <w:b/>
                <w:sz w:val="28"/>
                <w:szCs w:val="28"/>
              </w:rPr>
            </w:pPr>
            <w:r>
              <w:rPr>
                <w:rFonts w:hint="eastAsia" w:ascii="仿宋" w:hAnsi="仿宋" w:eastAsia="仿宋" w:cs="仿宋"/>
                <w:b/>
                <w:sz w:val="28"/>
                <w:szCs w:val="28"/>
              </w:rPr>
              <w:t>传真：</w:t>
            </w:r>
            <w:permStart w:id="63"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3"/>
          </w:p>
        </w:tc>
        <w:tc>
          <w:tcPr>
            <w:tcW w:w="4700" w:type="dxa"/>
            <w:vAlign w:val="center"/>
          </w:tcPr>
          <w:p w14:paraId="57F7699A">
            <w:pPr>
              <w:spacing w:line="360" w:lineRule="auto"/>
              <w:rPr>
                <w:rFonts w:hint="eastAsia" w:ascii="仿宋" w:hAnsi="仿宋" w:eastAsia="仿宋" w:cs="仿宋"/>
                <w:bCs/>
                <w:sz w:val="28"/>
                <w:szCs w:val="28"/>
              </w:rPr>
            </w:pPr>
            <w:r>
              <w:rPr>
                <w:rFonts w:hint="eastAsia" w:ascii="仿宋" w:hAnsi="仿宋" w:eastAsia="仿宋" w:cs="仿宋"/>
                <w:b/>
                <w:sz w:val="28"/>
                <w:szCs w:val="28"/>
              </w:rPr>
              <w:t>传真：</w:t>
            </w:r>
            <w:permStart w:id="64"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4"/>
          </w:p>
        </w:tc>
      </w:tr>
      <w:tr w14:paraId="37BE98F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30" w:hRule="atLeast"/>
          <w:jc w:val="center"/>
        </w:trPr>
        <w:tc>
          <w:tcPr>
            <w:tcW w:w="4700" w:type="dxa"/>
            <w:vAlign w:val="center"/>
          </w:tcPr>
          <w:p w14:paraId="25AE06A9">
            <w:pPr>
              <w:spacing w:line="360" w:lineRule="auto"/>
              <w:rPr>
                <w:rFonts w:hint="eastAsia" w:ascii="仿宋" w:hAnsi="仿宋" w:eastAsia="仿宋" w:cs="仿宋"/>
                <w:b/>
                <w:sz w:val="28"/>
                <w:szCs w:val="28"/>
              </w:rPr>
            </w:pPr>
            <w:r>
              <w:rPr>
                <w:rFonts w:hint="eastAsia" w:ascii="仿宋" w:hAnsi="仿宋" w:eastAsia="仿宋" w:cs="仿宋"/>
                <w:b/>
                <w:sz w:val="28"/>
                <w:szCs w:val="28"/>
              </w:rPr>
              <w:t>电子邮箱：</w:t>
            </w:r>
            <w:permStart w:id="65"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5"/>
          </w:p>
        </w:tc>
        <w:tc>
          <w:tcPr>
            <w:tcW w:w="4700" w:type="dxa"/>
            <w:vAlign w:val="center"/>
          </w:tcPr>
          <w:p w14:paraId="220AC263">
            <w:pPr>
              <w:spacing w:line="360" w:lineRule="auto"/>
              <w:rPr>
                <w:rFonts w:hint="eastAsia" w:ascii="仿宋" w:hAnsi="仿宋" w:eastAsia="仿宋" w:cs="仿宋"/>
                <w:bCs/>
                <w:sz w:val="28"/>
                <w:szCs w:val="28"/>
              </w:rPr>
            </w:pPr>
            <w:r>
              <w:rPr>
                <w:rFonts w:hint="eastAsia" w:ascii="仿宋" w:hAnsi="仿宋" w:eastAsia="仿宋" w:cs="仿宋"/>
                <w:b/>
                <w:sz w:val="28"/>
                <w:szCs w:val="28"/>
              </w:rPr>
              <w:t>电子邮箱：</w:t>
            </w:r>
            <w:r>
              <w:rPr>
                <w:rFonts w:hint="eastAsia" w:ascii="仿宋" w:hAnsi="仿宋" w:eastAsia="仿宋" w:cs="仿宋"/>
                <w:bCs/>
                <w:sz w:val="28"/>
                <w:szCs w:val="28"/>
              </w:rPr>
              <w:t xml:space="preserve"> </w:t>
            </w:r>
            <w:permStart w:id="66"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6"/>
          </w:p>
        </w:tc>
      </w:tr>
      <w:tr w14:paraId="19B7DAA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14:paraId="4616B96C">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w:t>
            </w:r>
            <w:permStart w:id="67" w:edGrp="everyone"/>
            <w:r>
              <w:rPr>
                <w:rFonts w:hint="eastAsia" w:ascii="仿宋" w:hAnsi="仿宋" w:eastAsia="仿宋" w:cs="仿宋"/>
                <w:sz w:val="28"/>
                <w:szCs w:val="28"/>
                <w:lang w:val="en-US" w:eastAsia="zh-CN"/>
              </w:rPr>
              <w:t xml:space="preserve">         </w:t>
            </w:r>
            <w:permEnd w:id="67"/>
            <w:r>
              <w:rPr>
                <w:rFonts w:hint="eastAsia" w:ascii="仿宋" w:hAnsi="仿宋" w:eastAsia="仿宋" w:cs="仿宋"/>
                <w:sz w:val="28"/>
                <w:szCs w:val="28"/>
              </w:rPr>
              <w:t xml:space="preserve"> </w:t>
            </w:r>
          </w:p>
        </w:tc>
        <w:tc>
          <w:tcPr>
            <w:tcW w:w="4700" w:type="dxa"/>
            <w:vAlign w:val="center"/>
          </w:tcPr>
          <w:p w14:paraId="05017253">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 xml:space="preserve">： </w:t>
            </w:r>
            <w:permStart w:id="68"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8"/>
          </w:p>
        </w:tc>
      </w:tr>
      <w:tr w14:paraId="6FA68CC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14:paraId="02DB3671">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69"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69"/>
          </w:p>
        </w:tc>
        <w:tc>
          <w:tcPr>
            <w:tcW w:w="4700" w:type="dxa"/>
            <w:vAlign w:val="center"/>
          </w:tcPr>
          <w:p w14:paraId="75571D98">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70" w:edGrp="everyone"/>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ermEnd w:id="70"/>
          </w:p>
        </w:tc>
      </w:tr>
      <w:tr w14:paraId="7EE5178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71" w:hRule="atLeast"/>
          <w:jc w:val="center"/>
        </w:trPr>
        <w:tc>
          <w:tcPr>
            <w:tcW w:w="9400" w:type="dxa"/>
            <w:gridSpan w:val="2"/>
            <w:vAlign w:val="center"/>
          </w:tcPr>
          <w:p w14:paraId="3BC502CD">
            <w:pPr>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签订时间：</w:t>
            </w:r>
            <w:permStart w:id="71" w:edGrp="everyone"/>
            <w:r>
              <w:rPr>
                <w:rFonts w:hint="eastAsia" w:ascii="仿宋" w:hAnsi="仿宋" w:eastAsia="仿宋" w:cs="仿宋"/>
                <w:b/>
                <w:bCs/>
                <w:sz w:val="28"/>
                <w:szCs w:val="28"/>
              </w:rPr>
              <w:t xml:space="preserve">        年     月      日</w:t>
            </w:r>
            <w:permEnd w:id="71"/>
          </w:p>
        </w:tc>
      </w:tr>
      <w:tr w14:paraId="712BF8B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671" w:hRule="atLeast"/>
          <w:jc w:val="center"/>
        </w:trPr>
        <w:tc>
          <w:tcPr>
            <w:tcW w:w="9400" w:type="dxa"/>
            <w:gridSpan w:val="2"/>
            <w:vAlign w:val="center"/>
          </w:tcPr>
          <w:p w14:paraId="2C41A394">
            <w:p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经办人签字：</w:t>
            </w:r>
          </w:p>
        </w:tc>
      </w:tr>
    </w:tbl>
    <w:p w14:paraId="5BCC0FEF">
      <w:pPr>
        <w:widowControl/>
        <w:rPr>
          <w:rFonts w:hint="eastAsia" w:ascii="仿宋" w:hAnsi="仿宋" w:eastAsia="仿宋" w:cs="仿宋"/>
          <w:sz w:val="24"/>
          <w:szCs w:val="24"/>
        </w:rPr>
      </w:pPr>
    </w:p>
    <w:p w14:paraId="14E104AB">
      <w:pPr>
        <w:widowControl/>
        <w:ind w:firstLine="562"/>
        <w:rPr>
          <w:rFonts w:hint="eastAsia" w:ascii="仿宋" w:hAnsi="仿宋" w:eastAsia="仿宋" w:cs="仿宋"/>
          <w:b/>
          <w:bCs/>
          <w:sz w:val="28"/>
          <w:szCs w:val="24"/>
        </w:rPr>
      </w:pPr>
      <w:r>
        <w:rPr>
          <w:rFonts w:hint="eastAsia" w:ascii="仿宋" w:hAnsi="仿宋" w:eastAsia="仿宋" w:cs="仿宋"/>
          <w:b/>
          <w:bCs/>
          <w:szCs w:val="24"/>
        </w:rPr>
        <w:br w:type="page"/>
      </w:r>
    </w:p>
    <w:p w14:paraId="3E63B2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b/>
          <w:bCs/>
          <w:sz w:val="28"/>
          <w:szCs w:val="28"/>
        </w:rPr>
        <w:t>附件1</w:t>
      </w:r>
    </w:p>
    <w:p w14:paraId="535FA2E6">
      <w:pPr>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廉政协议书</w:t>
      </w:r>
    </w:p>
    <w:p w14:paraId="0E007568">
      <w:pPr>
        <w:widowControl/>
        <w:spacing w:line="24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甲方：</w:t>
      </w:r>
      <w:permStart w:id="72" w:edGrp="everyone"/>
      <w:r>
        <w:rPr>
          <w:rFonts w:hint="eastAsia" w:ascii="仿宋" w:hAnsi="仿宋" w:eastAsia="仿宋" w:cs="仿宋"/>
          <w:sz w:val="28"/>
          <w:szCs w:val="28"/>
          <w:u w:val="single"/>
          <w:lang w:val="en-US" w:eastAsia="zh-CN"/>
        </w:rPr>
        <w:t xml:space="preserve">                       </w:t>
      </w:r>
      <w:r>
        <w:rPr>
          <w:rFonts w:hint="eastAsia" w:ascii="宋体" w:hAnsi="宋体" w:eastAsia="宋体" w:cs="宋体"/>
          <w:szCs w:val="28"/>
          <w:u w:val="none"/>
          <w:lang w:val="en-US" w:eastAsia="zh-CN" w:bidi="ar"/>
        </w:rPr>
        <w:t xml:space="preserve"> </w:t>
      </w:r>
      <w:permEnd w:id="72"/>
    </w:p>
    <w:p w14:paraId="12BADBE3">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rPr>
        <w:t>乙方：</w:t>
      </w:r>
      <w:permStart w:id="73" w:edGrp="everyone"/>
      <w:r>
        <w:rPr>
          <w:rFonts w:hint="eastAsia" w:ascii="仿宋" w:hAnsi="仿宋" w:eastAsia="仿宋" w:cs="仿宋"/>
          <w:sz w:val="28"/>
          <w:szCs w:val="28"/>
          <w:u w:val="single"/>
          <w:lang w:val="en-US" w:eastAsia="zh-CN"/>
        </w:rPr>
        <w:t xml:space="preserve">                       </w:t>
      </w:r>
      <w:permEnd w:id="73"/>
    </w:p>
    <w:p w14:paraId="191B0308">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30AA612F">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甲方与乙方双方责任</w:t>
      </w:r>
    </w:p>
    <w:p w14:paraId="79AC37AD">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1C95FF96">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14:paraId="4912B7C2">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（三）自确定合同主体、签订合同直至合同履行结束全过程，乙方和甲方双方应全面履行合同内容及廉政协议的各项规定，自觉按合同办事。</w:t>
      </w:r>
    </w:p>
    <w:p w14:paraId="029EFA0E">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62B47577">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51E9A30C">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甲方责任</w:t>
      </w:r>
    </w:p>
    <w:p w14:paraId="4303B266">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甲方单位及工作人员在合同签订及履行过程中应做到：</w:t>
      </w:r>
    </w:p>
    <w:p w14:paraId="17FCDF5E">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1D9763F">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（二）不得在乙方单位及乙方所属单位报销任何应由甲方单位或个人支付的费用；</w:t>
      </w:r>
    </w:p>
    <w:p w14:paraId="708E5E0C">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74DE34D0">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（四）除合同特别约定外，不得向乙方推销或指定使用各种材料及设备等。</w:t>
      </w:r>
    </w:p>
    <w:p w14:paraId="203E0B9A">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乙方责任</w:t>
      </w:r>
    </w:p>
    <w:p w14:paraId="721C7064">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乙方单位及所属工作人员在合同签订及履行过程中应做到：</w:t>
      </w:r>
    </w:p>
    <w:p w14:paraId="064633BF">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（一）不得向甲方工作人员及第三方赠送礼品、礼金、有价证券、支付凭证等金钱或实物；</w:t>
      </w:r>
    </w:p>
    <w:p w14:paraId="06395593">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（三）不得为甲方单位或个人购置或者提供通信工具、交通工具、家电、高档办公用品等；</w:t>
      </w:r>
    </w:p>
    <w:p w14:paraId="584DC357">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（三）不得以任何形式、理由为甲方和相关单位报销应由甲方单位或工作人员支付的费用；</w:t>
      </w:r>
    </w:p>
    <w:p w14:paraId="345BBF30">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（四）不得组织有可能影响甲方工作人员履行公职职责或可能影响产品质量、廉政建设的宴请、旅游等各种高消费娱乐活动。</w:t>
      </w:r>
    </w:p>
    <w:p w14:paraId="6829456E">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（五）不得为甲方工作人员住房装修、婚丧嫁娶、家属和子女的工作安排以及出国等提供方便。</w:t>
      </w:r>
    </w:p>
    <w:p w14:paraId="1BD4EB69">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（六）如遇到甲方工作人员向乙方单位或个人索要任何不正当利益时，乙方单位或个人有义务向甲方举报。</w:t>
      </w:r>
    </w:p>
    <w:p w14:paraId="4E6EBA7E">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14:paraId="05B17E3C">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14:paraId="1390C069">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414325B">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 xml:space="preserve">（三）双方约定：本协议书由甲方与乙方双方上级主管部门担任监督单位。违约情况发生下由双方监督单位对本协议书履行情况进行检查，提出在本承诺书规定范围内的裁定意见。  </w:t>
      </w:r>
    </w:p>
    <w:p w14:paraId="30254C1F">
      <w:pPr>
        <w:pStyle w:val="12"/>
        <w:ind w:firstLine="562"/>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本协议书作为《基坑监测及主体沉降观测技术服务合同》的附件，与基坑监测及主体沉降观测技术服务合同具有同等法律效力，经双方盖章签字后生效。</w:t>
      </w:r>
    </w:p>
    <w:p w14:paraId="7C986F2D">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14:paraId="18586692">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14:paraId="21169A50">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p>
    <w:tbl>
      <w:tblPr>
        <w:tblStyle w:val="10"/>
        <w:tblW w:w="94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40"/>
        <w:gridCol w:w="4740"/>
      </w:tblGrid>
      <w:tr w14:paraId="04D63F1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33" w:hRule="atLeast"/>
          <w:jc w:val="center"/>
        </w:trPr>
        <w:tc>
          <w:tcPr>
            <w:tcW w:w="4740" w:type="dxa"/>
            <w:vAlign w:val="top"/>
          </w:tcPr>
          <w:p w14:paraId="108460D7">
            <w:pPr>
              <w:spacing w:line="360" w:lineRule="auto"/>
              <w:jc w:val="both"/>
              <w:rPr>
                <w:rFonts w:hint="eastAsia" w:ascii="仿宋" w:hAnsi="仿宋" w:eastAsia="仿宋" w:cs="仿宋"/>
                <w:b w:val="0"/>
                <w:bCs/>
                <w:sz w:val="28"/>
                <w:szCs w:val="28"/>
              </w:rPr>
            </w:pPr>
            <w:r>
              <w:rPr>
                <w:rFonts w:hint="eastAsia" w:ascii="仿宋" w:hAnsi="仿宋" w:eastAsia="仿宋" w:cs="仿宋"/>
                <w:b w:val="0"/>
                <w:bCs/>
                <w:sz w:val="28"/>
                <w:szCs w:val="28"/>
              </w:rPr>
              <w:t>甲方（</w:t>
            </w:r>
            <w:r>
              <w:rPr>
                <w:rFonts w:hint="eastAsia" w:ascii="仿宋" w:hAnsi="仿宋" w:eastAsia="仿宋" w:cs="仿宋"/>
                <w:b w:val="0"/>
                <w:bCs/>
                <w:sz w:val="28"/>
                <w:szCs w:val="28"/>
                <w:lang w:val="en-US" w:eastAsia="zh-CN"/>
              </w:rPr>
              <w:t>盖</w:t>
            </w:r>
            <w:r>
              <w:rPr>
                <w:rFonts w:hint="eastAsia" w:ascii="仿宋" w:hAnsi="仿宋" w:eastAsia="仿宋" w:cs="仿宋"/>
                <w:b w:val="0"/>
                <w:bCs/>
                <w:sz w:val="28"/>
                <w:szCs w:val="28"/>
              </w:rPr>
              <w:t>章）：</w:t>
            </w:r>
            <w:permStart w:id="74" w:edGrp="everyone"/>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w:t>
            </w:r>
            <w:permEnd w:id="74"/>
          </w:p>
        </w:tc>
        <w:tc>
          <w:tcPr>
            <w:tcW w:w="4740" w:type="dxa"/>
            <w:vAlign w:val="top"/>
          </w:tcPr>
          <w:p w14:paraId="47C928D6">
            <w:pPr>
              <w:spacing w:line="360" w:lineRule="auto"/>
              <w:jc w:val="both"/>
              <w:rPr>
                <w:rFonts w:hint="eastAsia" w:ascii="仿宋" w:hAnsi="仿宋" w:eastAsia="仿宋" w:cs="仿宋"/>
                <w:b w:val="0"/>
                <w:bCs/>
                <w:sz w:val="28"/>
                <w:szCs w:val="28"/>
              </w:rPr>
            </w:pPr>
            <w:r>
              <w:rPr>
                <w:rFonts w:hint="eastAsia" w:ascii="仿宋" w:hAnsi="仿宋" w:eastAsia="仿宋" w:cs="仿宋"/>
                <w:b w:val="0"/>
                <w:bCs/>
                <w:sz w:val="28"/>
                <w:szCs w:val="28"/>
              </w:rPr>
              <w:t>乙方：（</w:t>
            </w:r>
            <w:r>
              <w:rPr>
                <w:rFonts w:hint="eastAsia" w:ascii="仿宋" w:hAnsi="仿宋" w:eastAsia="仿宋" w:cs="仿宋"/>
                <w:b w:val="0"/>
                <w:bCs/>
                <w:sz w:val="28"/>
                <w:szCs w:val="28"/>
                <w:lang w:val="en-US" w:eastAsia="zh-CN"/>
              </w:rPr>
              <w:t>盖</w:t>
            </w:r>
            <w:r>
              <w:rPr>
                <w:rFonts w:hint="eastAsia" w:ascii="仿宋" w:hAnsi="仿宋" w:eastAsia="仿宋" w:cs="仿宋"/>
                <w:b w:val="0"/>
                <w:bCs/>
                <w:sz w:val="28"/>
                <w:szCs w:val="28"/>
              </w:rPr>
              <w:t>章）</w:t>
            </w:r>
            <w:permStart w:id="75" w:edGrp="everyone"/>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w:t>
            </w:r>
            <w:permEnd w:id="75"/>
          </w:p>
        </w:tc>
      </w:tr>
      <w:tr w14:paraId="26D1831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292" w:hRule="atLeast"/>
          <w:jc w:val="center"/>
        </w:trPr>
        <w:tc>
          <w:tcPr>
            <w:tcW w:w="4740" w:type="dxa"/>
            <w:vAlign w:val="center"/>
          </w:tcPr>
          <w:p w14:paraId="127C40B4">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w:t>
            </w:r>
          </w:p>
          <w:p w14:paraId="0BA921C5">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（签字</w:t>
            </w:r>
            <w:r>
              <w:rPr>
                <w:rFonts w:hint="eastAsia" w:ascii="仿宋" w:hAnsi="仿宋" w:eastAsia="仿宋" w:cs="仿宋"/>
                <w:b w:val="0"/>
                <w:bCs/>
                <w:sz w:val="28"/>
                <w:szCs w:val="28"/>
                <w:lang w:val="en-US" w:eastAsia="zh-CN"/>
              </w:rPr>
              <w:t>或盖章</w:t>
            </w:r>
            <w:r>
              <w:rPr>
                <w:rFonts w:hint="eastAsia" w:ascii="仿宋" w:hAnsi="仿宋" w:eastAsia="仿宋" w:cs="仿宋"/>
                <w:b w:val="0"/>
                <w:bCs/>
                <w:sz w:val="28"/>
                <w:szCs w:val="28"/>
              </w:rPr>
              <w:t>）</w:t>
            </w:r>
          </w:p>
          <w:p w14:paraId="3E8C233A">
            <w:pPr>
              <w:spacing w:line="360" w:lineRule="auto"/>
              <w:ind w:firstLine="480"/>
              <w:rPr>
                <w:rFonts w:hint="eastAsia" w:ascii="仿宋" w:hAnsi="仿宋" w:eastAsia="仿宋" w:cs="仿宋"/>
                <w:b w:val="0"/>
                <w:bCs/>
                <w:sz w:val="28"/>
                <w:szCs w:val="28"/>
              </w:rPr>
            </w:pPr>
          </w:p>
        </w:tc>
        <w:tc>
          <w:tcPr>
            <w:tcW w:w="4740" w:type="dxa"/>
            <w:vAlign w:val="center"/>
          </w:tcPr>
          <w:p w14:paraId="3428B00A">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w:t>
            </w:r>
          </w:p>
          <w:p w14:paraId="363D9639">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（签字</w:t>
            </w:r>
            <w:r>
              <w:rPr>
                <w:rFonts w:hint="eastAsia" w:ascii="仿宋" w:hAnsi="仿宋" w:eastAsia="仿宋" w:cs="仿宋"/>
                <w:b w:val="0"/>
                <w:bCs/>
                <w:sz w:val="28"/>
                <w:szCs w:val="28"/>
                <w:lang w:val="en-US" w:eastAsia="zh-CN"/>
              </w:rPr>
              <w:t>或盖章</w:t>
            </w:r>
            <w:r>
              <w:rPr>
                <w:rFonts w:hint="eastAsia" w:ascii="仿宋" w:hAnsi="仿宋" w:eastAsia="仿宋" w:cs="仿宋"/>
                <w:b w:val="0"/>
                <w:bCs/>
                <w:sz w:val="28"/>
                <w:szCs w:val="28"/>
              </w:rPr>
              <w:t>）</w:t>
            </w:r>
          </w:p>
          <w:p w14:paraId="7B7E3E4E">
            <w:pPr>
              <w:spacing w:line="360" w:lineRule="auto"/>
              <w:ind w:firstLine="480"/>
              <w:rPr>
                <w:rFonts w:hint="eastAsia" w:ascii="仿宋" w:hAnsi="仿宋" w:eastAsia="仿宋" w:cs="仿宋"/>
                <w:b w:val="0"/>
                <w:bCs/>
                <w:sz w:val="28"/>
                <w:szCs w:val="28"/>
              </w:rPr>
            </w:pPr>
          </w:p>
        </w:tc>
      </w:tr>
    </w:tbl>
    <w:p w14:paraId="5181FBA9">
      <w:pPr>
        <w:ind w:firstLine="480"/>
        <w:rPr>
          <w:rFonts w:hint="eastAsia" w:ascii="仿宋" w:hAnsi="仿宋" w:eastAsia="仿宋" w:cs="仿宋"/>
          <w:sz w:val="24"/>
          <w:szCs w:val="24"/>
        </w:rPr>
      </w:pPr>
      <w:r>
        <w:rPr>
          <w:rFonts w:hint="eastAsia" w:ascii="仿宋" w:hAnsi="仿宋" w:eastAsia="仿宋" w:cs="仿宋"/>
          <w:sz w:val="24"/>
          <w:szCs w:val="24"/>
        </w:rPr>
        <w:br w:type="page"/>
      </w:r>
    </w:p>
    <w:p w14:paraId="1F443106">
      <w:pPr>
        <w:rPr>
          <w:rFonts w:hint="eastAsia" w:ascii="仿宋" w:hAnsi="仿宋" w:eastAsia="仿宋" w:cs="仿宋"/>
          <w:b/>
          <w:bCs/>
          <w:sz w:val="28"/>
          <w:szCs w:val="28"/>
        </w:rPr>
      </w:pPr>
      <w:r>
        <w:rPr>
          <w:rFonts w:hint="eastAsia" w:ascii="仿宋" w:hAnsi="仿宋" w:eastAsia="仿宋" w:cs="仿宋"/>
          <w:b/>
          <w:bCs/>
          <w:sz w:val="28"/>
          <w:szCs w:val="28"/>
        </w:rPr>
        <w:t>附件2</w:t>
      </w:r>
    </w:p>
    <w:p w14:paraId="53D438BD">
      <w:pPr>
        <w:ind w:firstLine="163" w:firstLineChars="45"/>
        <w:jc w:val="center"/>
        <w:rPr>
          <w:rFonts w:hint="eastAsia" w:ascii="仿宋" w:hAnsi="仿宋" w:eastAsia="仿宋" w:cs="仿宋"/>
          <w:b/>
          <w:bCs/>
          <w:sz w:val="28"/>
          <w:szCs w:val="28"/>
        </w:rPr>
      </w:pPr>
      <w:r>
        <w:rPr>
          <w:rFonts w:hint="eastAsia" w:ascii="仿宋" w:hAnsi="仿宋" w:eastAsia="仿宋" w:cs="仿宋"/>
          <w:b/>
          <w:bCs/>
          <w:sz w:val="36"/>
          <w:szCs w:val="36"/>
        </w:rPr>
        <w:t>保密承诺函</w:t>
      </w:r>
    </w:p>
    <w:p w14:paraId="35CA4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致：</w:t>
      </w:r>
      <w:permStart w:id="76" w:edGrp="everyone"/>
      <w:r>
        <w:rPr>
          <w:rFonts w:hint="eastAsia" w:ascii="仿宋" w:hAnsi="仿宋" w:eastAsia="仿宋" w:cs="仿宋"/>
          <w:sz w:val="28"/>
          <w:szCs w:val="28"/>
          <w:lang w:val="en-US" w:eastAsia="zh-CN"/>
        </w:rPr>
        <w:t xml:space="preserve">                </w:t>
      </w:r>
      <w:permEnd w:id="76"/>
    </w:p>
    <w:p w14:paraId="5415F53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我司受</w:t>
      </w:r>
      <w:permStart w:id="77" w:edGrp="everyone"/>
      <w:r>
        <w:rPr>
          <w:rFonts w:hint="eastAsia" w:ascii="仿宋" w:hAnsi="仿宋" w:eastAsia="仿宋" w:cs="仿宋"/>
          <w:sz w:val="28"/>
          <w:szCs w:val="28"/>
          <w:u w:val="single"/>
          <w:lang w:val="en-US" w:eastAsia="zh-CN"/>
        </w:rPr>
        <w:t xml:space="preserve">               </w:t>
      </w:r>
      <w:permEnd w:id="77"/>
      <w:r>
        <w:rPr>
          <w:rFonts w:hint="eastAsia" w:ascii="仿宋" w:hAnsi="仿宋" w:eastAsia="仿宋" w:cs="仿宋"/>
          <w:sz w:val="28"/>
          <w:szCs w:val="28"/>
        </w:rPr>
        <w:t>（以下简称“甲方”）委托，负责</w:t>
      </w:r>
      <w:permStart w:id="78" w:edGrp="everyone"/>
      <w:r>
        <w:rPr>
          <w:rFonts w:hint="eastAsia" w:ascii="仿宋" w:hAnsi="仿宋" w:eastAsia="仿宋" w:cs="仿宋"/>
          <w:sz w:val="28"/>
          <w:szCs w:val="28"/>
          <w:u w:val="single"/>
          <w:lang w:val="en-US" w:eastAsia="zh-CN"/>
        </w:rPr>
        <w:t>海口市江东新区JDWH-01-A07-02地块项目基坑监测及主体沉降观测工程</w:t>
      </w:r>
      <w:permEnd w:id="78"/>
      <w:r>
        <w:rPr>
          <w:rFonts w:hint="eastAsia" w:ascii="仿宋" w:hAnsi="仿宋" w:eastAsia="仿宋" w:cs="仿宋"/>
          <w:sz w:val="28"/>
          <w:szCs w:val="28"/>
        </w:rPr>
        <w:t>工作，我司在此承诺：</w:t>
      </w:r>
    </w:p>
    <w:p w14:paraId="06FC068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2B0CE1A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2、我司承担保密义务直到至本条款中所称的保密信息进入公示领域或委托人将这些保密信息公开为止，不因本合同终止或履行完毕而终止。</w:t>
      </w:r>
    </w:p>
    <w:p w14:paraId="7633002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261FE0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rPr>
      </w:pPr>
    </w:p>
    <w:p w14:paraId="4F068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承诺人名称：</w:t>
      </w:r>
      <w:permStart w:id="79" w:edGrp="everyone"/>
      <w:r>
        <w:rPr>
          <w:rFonts w:hint="eastAsia" w:ascii="仿宋" w:hAnsi="仿宋" w:eastAsia="仿宋" w:cs="仿宋"/>
          <w:sz w:val="28"/>
          <w:szCs w:val="28"/>
          <w:lang w:val="en-US" w:eastAsia="zh-CN"/>
        </w:rPr>
        <w:t xml:space="preserve">                    </w:t>
      </w:r>
      <w:permEnd w:id="79"/>
      <w:r>
        <w:rPr>
          <w:rFonts w:hint="eastAsia" w:ascii="仿宋" w:hAnsi="仿宋" w:eastAsia="仿宋" w:cs="仿宋"/>
          <w:sz w:val="28"/>
          <w:szCs w:val="28"/>
        </w:rPr>
        <w:t xml:space="preserve">  </w:t>
      </w:r>
    </w:p>
    <w:p w14:paraId="524E836D">
      <w:pPr>
        <w:keepNext w:val="0"/>
        <w:keepLines w:val="0"/>
        <w:pageBreakBefore w:val="0"/>
        <w:widowControl/>
        <w:kinsoku/>
        <w:wordWrap/>
        <w:overflowPunct/>
        <w:topLinePunct w:val="0"/>
        <w:autoSpaceDE/>
        <w:autoSpaceDN/>
        <w:bidi w:val="0"/>
        <w:adjustRightInd/>
        <w:snapToGrid/>
        <w:spacing w:line="360" w:lineRule="auto"/>
        <w:ind w:left="0" w:leftChars="0" w:firstLine="3640" w:firstLineChars="1300"/>
        <w:textAlignment w:val="auto"/>
        <w:rPr>
          <w:rFonts w:hint="default" w:ascii="仿宋" w:hAnsi="仿宋" w:eastAsia="仿宋" w:cs="仿宋"/>
          <w:b w:val="0"/>
          <w:bCs w:val="0"/>
          <w:spacing w:val="12"/>
          <w:sz w:val="28"/>
          <w:szCs w:val="28"/>
          <w:lang w:val="en-US" w:eastAsia="zh-CN"/>
        </w:rPr>
      </w:pPr>
      <w:r>
        <w:rPr>
          <w:rFonts w:hint="eastAsia" w:ascii="仿宋" w:hAnsi="仿宋" w:eastAsia="仿宋" w:cs="仿宋"/>
          <w:b w:val="0"/>
          <w:bCs w:val="0"/>
          <w:sz w:val="28"/>
          <w:szCs w:val="28"/>
          <w:lang w:val="en-US" w:eastAsia="zh-CN"/>
        </w:rPr>
        <w:t>日期：</w:t>
      </w:r>
      <w:permStart w:id="80" w:edGrp="everyone"/>
      <w:r>
        <w:rPr>
          <w:rFonts w:hint="eastAsia" w:ascii="仿宋" w:hAnsi="仿宋" w:eastAsia="仿宋" w:cs="仿宋"/>
          <w:b w:val="0"/>
          <w:bCs w:val="0"/>
          <w:sz w:val="28"/>
          <w:szCs w:val="28"/>
          <w:lang w:val="en-US" w:eastAsia="zh-CN"/>
        </w:rPr>
        <w:t xml:space="preserve">     </w:t>
      </w:r>
      <w:permEnd w:id="80"/>
      <w:r>
        <w:rPr>
          <w:rFonts w:hint="eastAsia" w:ascii="仿宋" w:hAnsi="仿宋" w:eastAsia="仿宋" w:cs="仿宋"/>
          <w:b w:val="0"/>
          <w:bCs w:val="0"/>
          <w:sz w:val="28"/>
          <w:szCs w:val="28"/>
          <w:lang w:val="en-US" w:eastAsia="zh-CN"/>
        </w:rPr>
        <w:t>年</w:t>
      </w:r>
      <w:permStart w:id="81" w:edGrp="everyone"/>
      <w:r>
        <w:rPr>
          <w:rFonts w:hint="eastAsia" w:ascii="仿宋" w:hAnsi="仿宋" w:eastAsia="仿宋" w:cs="仿宋"/>
          <w:b w:val="0"/>
          <w:bCs w:val="0"/>
          <w:sz w:val="28"/>
          <w:szCs w:val="28"/>
          <w:lang w:val="en-US" w:eastAsia="zh-CN"/>
        </w:rPr>
        <w:t xml:space="preserve">   </w:t>
      </w:r>
      <w:permEnd w:id="81"/>
      <w:r>
        <w:rPr>
          <w:rFonts w:hint="eastAsia" w:ascii="仿宋" w:hAnsi="仿宋" w:eastAsia="仿宋" w:cs="仿宋"/>
          <w:b w:val="0"/>
          <w:bCs w:val="0"/>
          <w:sz w:val="28"/>
          <w:szCs w:val="28"/>
          <w:lang w:val="en-US" w:eastAsia="zh-CN"/>
        </w:rPr>
        <w:t>月</w:t>
      </w:r>
      <w:permStart w:id="82" w:edGrp="everyone"/>
      <w:r>
        <w:rPr>
          <w:rFonts w:hint="eastAsia" w:ascii="仿宋" w:hAnsi="仿宋" w:eastAsia="仿宋" w:cs="仿宋"/>
          <w:b w:val="0"/>
          <w:bCs w:val="0"/>
          <w:sz w:val="28"/>
          <w:szCs w:val="28"/>
          <w:lang w:val="en-US" w:eastAsia="zh-CN"/>
        </w:rPr>
        <w:t xml:space="preserve">   </w:t>
      </w:r>
      <w:permEnd w:id="82"/>
      <w:r>
        <w:rPr>
          <w:rFonts w:hint="eastAsia" w:ascii="仿宋" w:hAnsi="仿宋" w:eastAsia="仿宋" w:cs="仿宋"/>
          <w:b w:val="0"/>
          <w:bCs w:val="0"/>
          <w:sz w:val="28"/>
          <w:szCs w:val="28"/>
          <w:lang w:val="en-US" w:eastAsia="zh-CN"/>
        </w:rPr>
        <w:t>日</w:t>
      </w:r>
    </w:p>
    <w:p w14:paraId="43682670">
      <w:pPr>
        <w:rPr>
          <w:rFonts w:hint="eastAsia" w:ascii="仿宋" w:hAnsi="仿宋" w:eastAsia="仿宋" w:cs="仿宋"/>
          <w:b/>
          <w:bCs/>
          <w:kern w:val="2"/>
          <w:sz w:val="28"/>
          <w:szCs w:val="24"/>
        </w:rPr>
      </w:pPr>
      <w:r>
        <w:rPr>
          <w:rFonts w:hint="eastAsia" w:ascii="仿宋" w:hAnsi="仿宋" w:eastAsia="仿宋" w:cs="仿宋"/>
          <w:b/>
          <w:bCs/>
          <w:kern w:val="2"/>
          <w:sz w:val="28"/>
          <w:szCs w:val="24"/>
        </w:rPr>
        <w:br w:type="page"/>
      </w:r>
    </w:p>
    <w:p w14:paraId="31178C19">
      <w:pPr>
        <w:pStyle w:val="8"/>
        <w:ind w:left="0" w:leftChars="0" w:firstLine="0" w:firstLineChars="0"/>
        <w:rPr>
          <w:rFonts w:hint="eastAsia" w:ascii="仿宋" w:hAnsi="仿宋" w:eastAsia="仿宋" w:cs="仿宋"/>
          <w:b/>
          <w:bCs/>
          <w:kern w:val="2"/>
          <w:sz w:val="28"/>
          <w:szCs w:val="24"/>
        </w:rPr>
      </w:pPr>
      <w:r>
        <w:rPr>
          <w:rFonts w:hint="eastAsia" w:ascii="仿宋" w:hAnsi="仿宋" w:eastAsia="仿宋" w:cs="仿宋"/>
          <w:b/>
          <w:bCs/>
          <w:kern w:val="2"/>
          <w:sz w:val="28"/>
          <w:szCs w:val="24"/>
        </w:rPr>
        <w:t>附件3</w:t>
      </w:r>
    </w:p>
    <w:p w14:paraId="385D8C36">
      <w:pPr>
        <w:ind w:firstLine="560"/>
        <w:jc w:val="center"/>
        <w:rPr>
          <w:rFonts w:hint="eastAsia" w:ascii="仿宋" w:hAnsi="仿宋" w:eastAsia="仿宋" w:cs="仿宋"/>
          <w:b/>
          <w:bCs/>
          <w:sz w:val="36"/>
          <w:szCs w:val="36"/>
        </w:rPr>
      </w:pPr>
      <w:r>
        <w:rPr>
          <w:rFonts w:hint="eastAsia" w:ascii="仿宋" w:hAnsi="仿宋" w:eastAsia="仿宋" w:cs="仿宋"/>
          <w:b/>
          <w:bCs/>
          <w:sz w:val="36"/>
          <w:szCs w:val="36"/>
        </w:rPr>
        <w:t>监测任务书</w:t>
      </w:r>
      <w:bookmarkEnd w:id="0"/>
    </w:p>
    <w:p w14:paraId="61DC6897">
      <w:pPr>
        <w:numPr>
          <w:ilvl w:val="0"/>
          <w:numId w:val="0"/>
        </w:numPr>
        <w:jc w:val="center"/>
        <w:outlineLvl w:val="0"/>
        <w:rPr>
          <w:rFonts w:hint="eastAsia" w:ascii="宋体" w:hAnsi="宋体" w:eastAsia="宋体" w:cs="宋体"/>
          <w:b/>
          <w:kern w:val="1"/>
          <w:sz w:val="28"/>
          <w:szCs w:val="28"/>
        </w:rPr>
      </w:pPr>
      <w:permStart w:id="83" w:edGrp="everyone"/>
      <w:r>
        <w:rPr>
          <w:rFonts w:hint="eastAsia" w:ascii="仿宋" w:hAnsi="仿宋" w:eastAsia="仿宋" w:cs="仿宋"/>
          <w:sz w:val="28"/>
          <w:szCs w:val="28"/>
        </w:rPr>
        <w:t xml:space="preserve"> </w:t>
      </w:r>
    </w:p>
    <w:p w14:paraId="14A74A4A">
      <w:pPr>
        <w:numPr>
          <w:ilvl w:val="0"/>
          <w:numId w:val="1"/>
        </w:numPr>
        <w:ind w:firstLine="482"/>
        <w:outlineLvl w:val="0"/>
        <w:rPr>
          <w:rFonts w:hint="eastAsia" w:ascii="宋体" w:hAnsi="宋体" w:eastAsia="宋体" w:cs="宋体"/>
          <w:sz w:val="24"/>
        </w:rPr>
      </w:pPr>
      <w:r>
        <w:rPr>
          <w:rFonts w:hint="eastAsia" w:ascii="宋体" w:hAnsi="宋体" w:eastAsia="宋体" w:cs="宋体"/>
          <w:b/>
          <w:kern w:val="1"/>
          <w:sz w:val="28"/>
          <w:szCs w:val="28"/>
        </w:rPr>
        <w:t>工程概况</w:t>
      </w:r>
    </w:p>
    <w:tbl>
      <w:tblPr>
        <w:tblStyle w:val="10"/>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782"/>
        <w:gridCol w:w="5858"/>
      </w:tblGrid>
      <w:tr w14:paraId="4995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62AA76D">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序号</w:t>
            </w:r>
          </w:p>
        </w:tc>
        <w:tc>
          <w:tcPr>
            <w:tcW w:w="1782" w:type="dxa"/>
            <w:shd w:val="clear" w:color="auto" w:fill="auto"/>
            <w:vAlign w:val="center"/>
          </w:tcPr>
          <w:p w14:paraId="4656DC1E">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内容</w:t>
            </w:r>
          </w:p>
        </w:tc>
        <w:tc>
          <w:tcPr>
            <w:tcW w:w="5858" w:type="dxa"/>
          </w:tcPr>
          <w:p w14:paraId="302E72F9">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名称</w:t>
            </w:r>
          </w:p>
        </w:tc>
      </w:tr>
      <w:tr w14:paraId="214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398ED5A4">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1</w:t>
            </w:r>
          </w:p>
        </w:tc>
        <w:tc>
          <w:tcPr>
            <w:tcW w:w="1782" w:type="dxa"/>
            <w:shd w:val="clear" w:color="auto" w:fill="auto"/>
            <w:vAlign w:val="center"/>
          </w:tcPr>
          <w:p w14:paraId="6DD8AA2C">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工程名称</w:t>
            </w:r>
          </w:p>
        </w:tc>
        <w:tc>
          <w:tcPr>
            <w:tcW w:w="5858" w:type="dxa"/>
            <w:vAlign w:val="center"/>
          </w:tcPr>
          <w:p w14:paraId="44E33CE8">
            <w:pPr>
              <w:widowControl/>
              <w:spacing w:line="360" w:lineRule="auto"/>
              <w:ind w:left="0" w:leftChars="0" w:firstLine="0" w:firstLineChars="0"/>
              <w:jc w:val="center"/>
              <w:rPr>
                <w:rFonts w:hint="eastAsia" w:ascii="宋体" w:hAnsi="宋体" w:eastAsia="宋体" w:cs="宋体"/>
                <w:color w:val="auto"/>
                <w:sz w:val="24"/>
                <w:vertAlign w:val="baseline"/>
              </w:rPr>
            </w:pPr>
            <w:r>
              <w:rPr>
                <w:rFonts w:hint="eastAsia" w:ascii="宋体" w:hAnsi="宋体" w:eastAsia="宋体" w:cs="宋体"/>
                <w:color w:val="auto"/>
                <w:spacing w:val="-2"/>
                <w:sz w:val="24"/>
                <w:szCs w:val="24"/>
                <w:lang w:val="en-US" w:eastAsia="zh-CN"/>
              </w:rPr>
              <w:t>海口市江东新区JDWH-01-A07-02地块项目</w:t>
            </w:r>
          </w:p>
        </w:tc>
      </w:tr>
      <w:tr w14:paraId="15B5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EEF0EF6">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2</w:t>
            </w:r>
          </w:p>
        </w:tc>
        <w:tc>
          <w:tcPr>
            <w:tcW w:w="1782" w:type="dxa"/>
            <w:shd w:val="clear" w:color="auto" w:fill="auto"/>
            <w:vAlign w:val="center"/>
          </w:tcPr>
          <w:p w14:paraId="0D08AD8E">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建设地点</w:t>
            </w:r>
          </w:p>
        </w:tc>
        <w:tc>
          <w:tcPr>
            <w:tcW w:w="5858" w:type="dxa"/>
            <w:vAlign w:val="center"/>
          </w:tcPr>
          <w:p w14:paraId="1585B160">
            <w:pPr>
              <w:widowControl/>
              <w:spacing w:line="360" w:lineRule="auto"/>
              <w:ind w:left="0" w:leftChars="0" w:firstLine="0" w:firstLineChars="0"/>
              <w:jc w:val="center"/>
              <w:rPr>
                <w:rFonts w:hint="eastAsia" w:ascii="宋体" w:hAnsi="宋体" w:eastAsia="宋体" w:cs="宋体"/>
                <w:color w:val="auto"/>
                <w:sz w:val="24"/>
                <w:vertAlign w:val="baseline"/>
              </w:rPr>
            </w:pPr>
            <w:r>
              <w:rPr>
                <w:rFonts w:hint="eastAsia" w:ascii="宋体" w:hAnsi="宋体" w:eastAsia="宋体" w:cs="宋体"/>
                <w:color w:val="000000"/>
                <w:kern w:val="2"/>
                <w:sz w:val="24"/>
                <w:szCs w:val="24"/>
                <w:lang w:val="en-US" w:eastAsia="zh-CN" w:bidi="ar"/>
              </w:rPr>
              <w:t>海口市江东新区JDWH-01-A07-02地块</w:t>
            </w:r>
          </w:p>
        </w:tc>
      </w:tr>
      <w:tr w14:paraId="60AE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641CA2CC">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3</w:t>
            </w:r>
          </w:p>
        </w:tc>
        <w:tc>
          <w:tcPr>
            <w:tcW w:w="1782" w:type="dxa"/>
            <w:shd w:val="clear" w:color="auto" w:fill="auto"/>
            <w:vAlign w:val="center"/>
          </w:tcPr>
          <w:p w14:paraId="0EFF4A3E">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建设单位</w:t>
            </w:r>
          </w:p>
        </w:tc>
        <w:tc>
          <w:tcPr>
            <w:tcW w:w="5858" w:type="dxa"/>
            <w:vAlign w:val="center"/>
          </w:tcPr>
          <w:p w14:paraId="6EB14C1B">
            <w:pPr>
              <w:widowControl/>
              <w:spacing w:line="360" w:lineRule="auto"/>
              <w:ind w:left="0" w:leftChars="0" w:firstLine="0" w:firstLineChars="0"/>
              <w:jc w:val="center"/>
              <w:rPr>
                <w:rFonts w:hint="eastAsia" w:ascii="宋体" w:hAnsi="宋体" w:eastAsia="宋体" w:cs="宋体"/>
                <w:color w:val="auto"/>
                <w:sz w:val="24"/>
                <w:vertAlign w:val="baseline"/>
              </w:rPr>
            </w:pPr>
            <w:r>
              <w:rPr>
                <w:rFonts w:hint="eastAsia" w:ascii="宋体" w:hAnsi="宋体" w:eastAsia="宋体" w:cs="宋体"/>
                <w:color w:val="auto"/>
                <w:spacing w:val="-2"/>
                <w:sz w:val="24"/>
                <w:szCs w:val="24"/>
                <w:lang w:val="en-US" w:eastAsia="zh-CN"/>
              </w:rPr>
              <w:t>海口市君实综合开发有限责任公司</w:t>
            </w:r>
          </w:p>
        </w:tc>
      </w:tr>
      <w:tr w14:paraId="790F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3F29BB7C">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4</w:t>
            </w:r>
          </w:p>
        </w:tc>
        <w:tc>
          <w:tcPr>
            <w:tcW w:w="1782" w:type="dxa"/>
            <w:shd w:val="clear" w:color="auto" w:fill="auto"/>
            <w:vAlign w:val="center"/>
          </w:tcPr>
          <w:p w14:paraId="4E3DDE41">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监理单位</w:t>
            </w:r>
          </w:p>
        </w:tc>
        <w:tc>
          <w:tcPr>
            <w:tcW w:w="5858" w:type="dxa"/>
            <w:vAlign w:val="center"/>
          </w:tcPr>
          <w:p w14:paraId="00DE3DB3">
            <w:pPr>
              <w:widowControl/>
              <w:spacing w:line="360" w:lineRule="auto"/>
              <w:ind w:left="0" w:leftChars="0" w:firstLine="0" w:firstLineChars="0"/>
              <w:jc w:val="center"/>
              <w:rPr>
                <w:rFonts w:hint="eastAsia" w:ascii="宋体" w:hAnsi="宋体" w:eastAsia="宋体" w:cs="宋体"/>
                <w:color w:val="auto"/>
                <w:sz w:val="24"/>
                <w:vertAlign w:val="baseline"/>
              </w:rPr>
            </w:pPr>
            <w:r>
              <w:rPr>
                <w:rFonts w:hint="eastAsia" w:ascii="宋体" w:hAnsi="宋体" w:eastAsia="宋体" w:cs="宋体"/>
                <w:snapToGrid w:val="0"/>
                <w:color w:val="auto"/>
                <w:spacing w:val="-2"/>
                <w:kern w:val="0"/>
                <w:sz w:val="24"/>
                <w:szCs w:val="24"/>
                <w:lang w:val="en-US" w:eastAsia="zh-CN" w:bidi="ar-SA"/>
              </w:rPr>
              <w:t>成都衡泰全过程工程咨询集团有限公司</w:t>
            </w:r>
          </w:p>
        </w:tc>
      </w:tr>
      <w:tr w14:paraId="39E3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0F490D5">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5</w:t>
            </w:r>
          </w:p>
        </w:tc>
        <w:tc>
          <w:tcPr>
            <w:tcW w:w="1782" w:type="dxa"/>
            <w:shd w:val="clear" w:color="auto" w:fill="auto"/>
            <w:vAlign w:val="center"/>
          </w:tcPr>
          <w:p w14:paraId="3EFCAECE">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设计单位</w:t>
            </w:r>
          </w:p>
        </w:tc>
        <w:tc>
          <w:tcPr>
            <w:tcW w:w="5858" w:type="dxa"/>
            <w:vAlign w:val="center"/>
          </w:tcPr>
          <w:p w14:paraId="04417CF4">
            <w:pPr>
              <w:widowControl/>
              <w:spacing w:line="360" w:lineRule="auto"/>
              <w:ind w:left="0" w:leftChars="0" w:firstLine="0" w:firstLineChars="0"/>
              <w:jc w:val="center"/>
              <w:rPr>
                <w:rFonts w:hint="eastAsia" w:ascii="宋体" w:hAnsi="宋体" w:eastAsia="宋体" w:cs="宋体"/>
                <w:color w:val="auto"/>
                <w:sz w:val="24"/>
                <w:vertAlign w:val="baseline"/>
              </w:rPr>
            </w:pPr>
            <w:r>
              <w:rPr>
                <w:rFonts w:hint="eastAsia" w:ascii="宋体" w:hAnsi="宋体" w:eastAsia="宋体" w:cs="宋体"/>
                <w:color w:val="auto"/>
                <w:spacing w:val="-2"/>
                <w:sz w:val="24"/>
                <w:szCs w:val="24"/>
                <w:lang w:val="en-US" w:eastAsia="zh-CN"/>
              </w:rPr>
              <w:t>中国建筑西南设计研究院有限公司</w:t>
            </w:r>
          </w:p>
        </w:tc>
      </w:tr>
      <w:tr w14:paraId="2283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F5F360C">
            <w:pPr>
              <w:widowControl/>
              <w:spacing w:line="360" w:lineRule="auto"/>
              <w:ind w:left="0" w:leftChars="0" w:firstLine="0" w:firstLineChars="0"/>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6</w:t>
            </w:r>
          </w:p>
        </w:tc>
        <w:tc>
          <w:tcPr>
            <w:tcW w:w="1782" w:type="dxa"/>
            <w:shd w:val="clear" w:color="auto" w:fill="auto"/>
            <w:vAlign w:val="center"/>
          </w:tcPr>
          <w:p w14:paraId="750ADFEC">
            <w:pPr>
              <w:widowControl/>
              <w:spacing w:line="360" w:lineRule="auto"/>
              <w:ind w:left="0" w:leftChars="0" w:firstLine="0" w:firstLineChars="0"/>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施工单位</w:t>
            </w:r>
          </w:p>
        </w:tc>
        <w:tc>
          <w:tcPr>
            <w:tcW w:w="5858" w:type="dxa"/>
          </w:tcPr>
          <w:p w14:paraId="1CFD9A97">
            <w:pPr>
              <w:widowControl/>
              <w:spacing w:line="360" w:lineRule="auto"/>
              <w:ind w:left="0" w:leftChars="0" w:firstLine="0" w:firstLineChars="0"/>
              <w:jc w:val="both"/>
              <w:rPr>
                <w:rFonts w:hint="eastAsia" w:ascii="宋体" w:hAnsi="宋体" w:eastAsia="宋体" w:cs="宋体"/>
                <w:color w:val="auto"/>
                <w:sz w:val="24"/>
                <w:vertAlign w:val="baseline"/>
              </w:rPr>
            </w:pPr>
            <w:r>
              <w:rPr>
                <w:rFonts w:hint="eastAsia" w:ascii="宋体" w:hAnsi="宋体" w:eastAsia="宋体" w:cs="宋体"/>
                <w:spacing w:val="-2"/>
                <w:sz w:val="24"/>
                <w:szCs w:val="24"/>
                <w:lang w:val="en-US" w:eastAsia="zh-CN"/>
              </w:rPr>
              <w:t>中建三局集团有限公司、中建三局总承包建设有限公司</w:t>
            </w:r>
          </w:p>
        </w:tc>
      </w:tr>
    </w:tbl>
    <w:p w14:paraId="7CBEA627">
      <w:pPr>
        <w:widowControl/>
        <w:spacing w:line="360" w:lineRule="auto"/>
        <w:ind w:firstLine="480"/>
        <w:jc w:val="left"/>
        <w:rPr>
          <w:rFonts w:hint="default" w:ascii="宋体" w:hAnsi="宋体" w:eastAsia="宋体" w:cs="宋体"/>
          <w:color w:val="auto"/>
          <w:sz w:val="24"/>
          <w:lang w:val="en-US" w:eastAsia="zh-CN"/>
        </w:rPr>
      </w:pPr>
      <w:r>
        <w:rPr>
          <w:rFonts w:hint="eastAsia" w:ascii="宋体" w:hAnsi="宋体" w:eastAsia="宋体" w:cs="宋体"/>
          <w:color w:val="auto"/>
          <w:sz w:val="24"/>
        </w:rPr>
        <w:t>建设内容及规模：</w:t>
      </w:r>
      <w:r>
        <w:rPr>
          <w:rFonts w:hint="eastAsia" w:ascii="宋体" w:hAnsi="宋体" w:eastAsia="宋体"/>
          <w:sz w:val="24"/>
          <w:szCs w:val="24"/>
          <w:highlight w:val="none"/>
          <w:lang w:val="zh-CN"/>
        </w:rPr>
        <w:t>项目位于海口江东新区东营西路北侧，东营环路西侧，南航海岸项目北侧，皇冠温泉海岸南侧。项目总用地面积约98亩，总建筑面积约15.4万㎡，其中地上建筑面积约10.6万㎡，地下建筑面积约4.8万㎡。项目规划建设7栋9层洋房、11栋11层洋房、12栋叠墅，地块内配建一所6班幼儿园及一栋配套用房</w:t>
      </w:r>
      <w:r>
        <w:rPr>
          <w:rFonts w:hint="eastAsia" w:ascii="宋体" w:hAnsi="宋体" w:eastAsia="宋体" w:cs="宋体"/>
          <w:color w:val="auto"/>
          <w:sz w:val="24"/>
          <w:lang w:val="en-US" w:eastAsia="zh-CN"/>
        </w:rPr>
        <w:t>。</w:t>
      </w:r>
    </w:p>
    <w:p w14:paraId="6217AD40">
      <w:pPr>
        <w:pStyle w:val="8"/>
        <w:adjustRightInd/>
        <w:spacing w:line="360" w:lineRule="auto"/>
        <w:ind w:left="0" w:leftChars="0" w:firstLine="480"/>
        <w:textAlignment w:val="auto"/>
        <w:rPr>
          <w:rFonts w:hint="eastAsia" w:hAnsi="宋体" w:eastAsia="宋体" w:cs="宋体"/>
          <w:color w:val="auto"/>
          <w:kern w:val="2"/>
        </w:rPr>
      </w:pPr>
      <w:r>
        <w:rPr>
          <w:rFonts w:hint="eastAsia" w:hAnsi="宋体" w:eastAsia="宋体" w:cs="宋体"/>
          <w:color w:val="auto"/>
          <w:kern w:val="2"/>
        </w:rPr>
        <w:t>计划工期：</w:t>
      </w:r>
      <w:r>
        <w:rPr>
          <w:rFonts w:hint="eastAsia" w:hAnsi="宋体" w:eastAsia="宋体" w:cs="宋体"/>
          <w:color w:val="auto"/>
          <w:kern w:val="2"/>
          <w:szCs w:val="24"/>
        </w:rPr>
        <w:t>满足甲方及施工现场需要</w:t>
      </w:r>
      <w:r>
        <w:rPr>
          <w:rFonts w:hint="eastAsia" w:hAnsi="宋体" w:eastAsia="宋体" w:cs="宋体"/>
          <w:color w:val="auto"/>
          <w:kern w:val="2"/>
        </w:rPr>
        <w:t>。</w:t>
      </w:r>
    </w:p>
    <w:p w14:paraId="3378EB86">
      <w:pPr>
        <w:numPr>
          <w:ilvl w:val="0"/>
          <w:numId w:val="1"/>
        </w:numPr>
        <w:ind w:firstLine="482"/>
        <w:outlineLvl w:val="0"/>
        <w:rPr>
          <w:rFonts w:hint="eastAsia" w:ascii="宋体" w:hAnsi="宋体" w:eastAsia="宋体" w:cs="宋体"/>
          <w:b/>
          <w:kern w:val="1"/>
          <w:sz w:val="28"/>
          <w:szCs w:val="28"/>
        </w:rPr>
      </w:pPr>
      <w:r>
        <w:rPr>
          <w:rFonts w:hint="eastAsia" w:ascii="宋体" w:hAnsi="宋体" w:eastAsia="宋体" w:cs="宋体"/>
          <w:b/>
          <w:kern w:val="1"/>
          <w:sz w:val="28"/>
          <w:szCs w:val="28"/>
          <w:lang w:val="en-US" w:eastAsia="zh-CN"/>
        </w:rPr>
        <w:t>主体沉降观测</w:t>
      </w:r>
      <w:r>
        <w:rPr>
          <w:rFonts w:hint="eastAsia" w:ascii="宋体" w:hAnsi="宋体" w:eastAsia="宋体" w:cs="宋体"/>
          <w:b/>
          <w:kern w:val="1"/>
          <w:sz w:val="28"/>
          <w:szCs w:val="28"/>
        </w:rPr>
        <w:t>内容及依据</w:t>
      </w:r>
    </w:p>
    <w:tbl>
      <w:tblPr>
        <w:tblStyle w:val="9"/>
        <w:tblpPr w:leftFromText="180" w:rightFromText="180" w:vertAnchor="text" w:horzAnchor="page" w:tblpX="1562" w:tblpY="78"/>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0"/>
        <w:gridCol w:w="1800"/>
        <w:gridCol w:w="1230"/>
        <w:gridCol w:w="660"/>
        <w:gridCol w:w="720"/>
        <w:gridCol w:w="2985"/>
      </w:tblGrid>
      <w:tr w14:paraId="2154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25" w:type="dxa"/>
            <w:gridSpan w:val="3"/>
            <w:vMerge w:val="restart"/>
            <w:noWrap w:val="0"/>
            <w:vAlign w:val="center"/>
          </w:tcPr>
          <w:p w14:paraId="06BDF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1230" w:type="dxa"/>
            <w:vMerge w:val="restart"/>
            <w:noWrap w:val="0"/>
            <w:vAlign w:val="center"/>
          </w:tcPr>
          <w:p w14:paraId="73492A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60" w:type="dxa"/>
            <w:vMerge w:val="restart"/>
            <w:noWrap w:val="0"/>
            <w:vAlign w:val="center"/>
          </w:tcPr>
          <w:p w14:paraId="4CFBC0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监测点数</w:t>
            </w:r>
          </w:p>
        </w:tc>
        <w:tc>
          <w:tcPr>
            <w:tcW w:w="720" w:type="dxa"/>
            <w:vMerge w:val="restart"/>
            <w:noWrap w:val="0"/>
            <w:vAlign w:val="center"/>
          </w:tcPr>
          <w:p w14:paraId="4FACDB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监测次数</w:t>
            </w:r>
          </w:p>
        </w:tc>
        <w:tc>
          <w:tcPr>
            <w:tcW w:w="2985" w:type="dxa"/>
            <w:vMerge w:val="restart"/>
            <w:noWrap w:val="0"/>
            <w:vAlign w:val="center"/>
          </w:tcPr>
          <w:p w14:paraId="55248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检测依据</w:t>
            </w:r>
          </w:p>
        </w:tc>
      </w:tr>
      <w:tr w14:paraId="38D8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25" w:type="dxa"/>
            <w:gridSpan w:val="3"/>
            <w:vMerge w:val="continue"/>
            <w:noWrap w:val="0"/>
            <w:vAlign w:val="center"/>
          </w:tcPr>
          <w:p w14:paraId="49579765">
            <w:pPr>
              <w:jc w:val="center"/>
              <w:rPr>
                <w:rFonts w:hint="eastAsia" w:ascii="宋体" w:hAnsi="宋体" w:eastAsia="宋体" w:cs="宋体"/>
                <w:i w:val="0"/>
                <w:iCs w:val="0"/>
                <w:color w:val="000000"/>
                <w:sz w:val="20"/>
                <w:szCs w:val="20"/>
                <w:u w:val="none"/>
              </w:rPr>
            </w:pPr>
          </w:p>
        </w:tc>
        <w:tc>
          <w:tcPr>
            <w:tcW w:w="1230" w:type="dxa"/>
            <w:vMerge w:val="continue"/>
            <w:noWrap w:val="0"/>
            <w:vAlign w:val="center"/>
          </w:tcPr>
          <w:p w14:paraId="23835271">
            <w:pPr>
              <w:jc w:val="center"/>
              <w:rPr>
                <w:rFonts w:hint="eastAsia" w:ascii="宋体" w:hAnsi="宋体" w:eastAsia="宋体" w:cs="宋体"/>
                <w:i w:val="0"/>
                <w:iCs w:val="0"/>
                <w:color w:val="000000"/>
                <w:sz w:val="20"/>
                <w:szCs w:val="20"/>
                <w:u w:val="none"/>
              </w:rPr>
            </w:pPr>
          </w:p>
        </w:tc>
        <w:tc>
          <w:tcPr>
            <w:tcW w:w="660" w:type="dxa"/>
            <w:vMerge w:val="continue"/>
            <w:noWrap w:val="0"/>
            <w:vAlign w:val="center"/>
          </w:tcPr>
          <w:p w14:paraId="7FE73D33">
            <w:pPr>
              <w:jc w:val="center"/>
              <w:rPr>
                <w:rFonts w:hint="eastAsia" w:ascii="宋体" w:hAnsi="宋体" w:eastAsia="宋体" w:cs="宋体"/>
                <w:i w:val="0"/>
                <w:iCs w:val="0"/>
                <w:color w:val="000000"/>
                <w:sz w:val="20"/>
                <w:szCs w:val="20"/>
                <w:u w:val="none"/>
              </w:rPr>
            </w:pPr>
          </w:p>
        </w:tc>
        <w:tc>
          <w:tcPr>
            <w:tcW w:w="720" w:type="dxa"/>
            <w:vMerge w:val="continue"/>
            <w:noWrap w:val="0"/>
            <w:vAlign w:val="center"/>
          </w:tcPr>
          <w:p w14:paraId="6ACA56C8">
            <w:pPr>
              <w:jc w:val="center"/>
              <w:rPr>
                <w:rFonts w:hint="eastAsia" w:ascii="宋体" w:hAnsi="宋体" w:eastAsia="宋体" w:cs="宋体"/>
                <w:i w:val="0"/>
                <w:iCs w:val="0"/>
                <w:color w:val="000000"/>
                <w:sz w:val="20"/>
                <w:szCs w:val="20"/>
                <w:u w:val="none"/>
              </w:rPr>
            </w:pPr>
          </w:p>
        </w:tc>
        <w:tc>
          <w:tcPr>
            <w:tcW w:w="2985" w:type="dxa"/>
            <w:vMerge w:val="continue"/>
            <w:noWrap w:val="0"/>
            <w:vAlign w:val="center"/>
          </w:tcPr>
          <w:p w14:paraId="3211A666">
            <w:pPr>
              <w:jc w:val="center"/>
              <w:rPr>
                <w:rFonts w:hint="eastAsia" w:ascii="宋体" w:hAnsi="宋体" w:eastAsia="宋体" w:cs="宋体"/>
                <w:i w:val="0"/>
                <w:iCs w:val="0"/>
                <w:color w:val="000000"/>
                <w:sz w:val="20"/>
                <w:szCs w:val="20"/>
                <w:u w:val="none"/>
              </w:rPr>
            </w:pPr>
          </w:p>
        </w:tc>
      </w:tr>
      <w:tr w14:paraId="10E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5" w:type="dxa"/>
            <w:vMerge w:val="restart"/>
            <w:noWrap w:val="0"/>
            <w:vAlign w:val="center"/>
          </w:tcPr>
          <w:p w14:paraId="445110A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一、监测点位布设费用</w:t>
            </w:r>
          </w:p>
        </w:tc>
        <w:tc>
          <w:tcPr>
            <w:tcW w:w="570" w:type="dxa"/>
            <w:noWrap w:val="0"/>
            <w:vAlign w:val="center"/>
          </w:tcPr>
          <w:p w14:paraId="786389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00" w:type="dxa"/>
            <w:noWrap w:val="0"/>
            <w:vAlign w:val="center"/>
          </w:tcPr>
          <w:p w14:paraId="6D64C4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基准点</w:t>
            </w:r>
          </w:p>
        </w:tc>
        <w:tc>
          <w:tcPr>
            <w:tcW w:w="1230" w:type="dxa"/>
            <w:noWrap w:val="0"/>
            <w:vAlign w:val="center"/>
          </w:tcPr>
          <w:p w14:paraId="15A335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660" w:type="dxa"/>
            <w:noWrap w:val="0"/>
            <w:vAlign w:val="center"/>
          </w:tcPr>
          <w:p w14:paraId="57303B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w:t>
            </w:r>
          </w:p>
        </w:tc>
        <w:tc>
          <w:tcPr>
            <w:tcW w:w="720" w:type="dxa"/>
            <w:noWrap w:val="0"/>
            <w:vAlign w:val="center"/>
          </w:tcPr>
          <w:p w14:paraId="7F958A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2985" w:type="dxa"/>
            <w:vMerge w:val="restart"/>
            <w:noWrap w:val="0"/>
            <w:vAlign w:val="center"/>
          </w:tcPr>
          <w:p w14:paraId="6626A383">
            <w:pPr>
              <w:keepNext w:val="0"/>
              <w:keepLines w:val="0"/>
              <w:widowControl/>
              <w:suppressLineNumbers w:val="0"/>
              <w:tabs>
                <w:tab w:val="left" w:pos="380"/>
                <w:tab w:val="center" w:pos="1982"/>
              </w:tabs>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《建筑变形技术规范》（JGJ8-2016）</w:t>
            </w:r>
          </w:p>
          <w:p w14:paraId="411FBF9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《工程测量标准》（GB50026-2020）</w:t>
            </w:r>
          </w:p>
          <w:p w14:paraId="0A1BFA0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《工程测量通用规范》（GB55018-2021）</w:t>
            </w:r>
          </w:p>
        </w:tc>
      </w:tr>
      <w:tr w14:paraId="2F7E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5" w:type="dxa"/>
            <w:vMerge w:val="continue"/>
            <w:noWrap w:val="0"/>
            <w:vAlign w:val="center"/>
          </w:tcPr>
          <w:p w14:paraId="6965254A">
            <w:pPr>
              <w:spacing w:line="240" w:lineRule="auto"/>
              <w:jc w:val="center"/>
              <w:rPr>
                <w:rFonts w:hint="eastAsia" w:ascii="宋体" w:hAnsi="宋体" w:eastAsia="宋体" w:cs="宋体"/>
                <w:i w:val="0"/>
                <w:iCs w:val="0"/>
                <w:color w:val="000000"/>
                <w:sz w:val="20"/>
                <w:szCs w:val="20"/>
                <w:u w:val="none"/>
              </w:rPr>
            </w:pPr>
          </w:p>
        </w:tc>
        <w:tc>
          <w:tcPr>
            <w:tcW w:w="570" w:type="dxa"/>
            <w:noWrap w:val="0"/>
            <w:vAlign w:val="center"/>
          </w:tcPr>
          <w:p w14:paraId="49B563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noWrap w:val="0"/>
            <w:vAlign w:val="center"/>
          </w:tcPr>
          <w:p w14:paraId="10DFB1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观测点</w:t>
            </w:r>
          </w:p>
        </w:tc>
        <w:tc>
          <w:tcPr>
            <w:tcW w:w="1230" w:type="dxa"/>
            <w:noWrap w:val="0"/>
            <w:vAlign w:val="center"/>
          </w:tcPr>
          <w:p w14:paraId="2A143D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660" w:type="dxa"/>
            <w:noWrap w:val="0"/>
            <w:vAlign w:val="center"/>
          </w:tcPr>
          <w:p w14:paraId="0534556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208</w:t>
            </w:r>
          </w:p>
        </w:tc>
        <w:tc>
          <w:tcPr>
            <w:tcW w:w="720" w:type="dxa"/>
            <w:noWrap w:val="0"/>
            <w:vAlign w:val="center"/>
          </w:tcPr>
          <w:p w14:paraId="3157B3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2985" w:type="dxa"/>
            <w:vMerge w:val="continue"/>
            <w:noWrap w:val="0"/>
            <w:vAlign w:val="center"/>
          </w:tcPr>
          <w:p w14:paraId="54A62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46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Merge w:val="restart"/>
            <w:noWrap w:val="0"/>
            <w:vAlign w:val="center"/>
          </w:tcPr>
          <w:p w14:paraId="07D1C90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二、监测费用</w:t>
            </w:r>
          </w:p>
        </w:tc>
        <w:tc>
          <w:tcPr>
            <w:tcW w:w="570" w:type="dxa"/>
            <w:noWrap w:val="0"/>
            <w:vAlign w:val="center"/>
          </w:tcPr>
          <w:p w14:paraId="3A8F880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0" w:type="dxa"/>
            <w:noWrap w:val="0"/>
            <w:vAlign w:val="center"/>
          </w:tcPr>
          <w:p w14:paraId="509F41D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沉降高程基准网监测</w:t>
            </w:r>
          </w:p>
        </w:tc>
        <w:tc>
          <w:tcPr>
            <w:tcW w:w="1230" w:type="dxa"/>
            <w:noWrap w:val="0"/>
            <w:vAlign w:val="center"/>
          </w:tcPr>
          <w:p w14:paraId="083A20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元/点·公里</w:t>
            </w:r>
          </w:p>
        </w:tc>
        <w:tc>
          <w:tcPr>
            <w:tcW w:w="660" w:type="dxa"/>
            <w:noWrap w:val="0"/>
            <w:vAlign w:val="center"/>
          </w:tcPr>
          <w:p w14:paraId="24FF5D7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w:t>
            </w:r>
          </w:p>
        </w:tc>
        <w:tc>
          <w:tcPr>
            <w:tcW w:w="720" w:type="dxa"/>
            <w:noWrap w:val="0"/>
            <w:vAlign w:val="center"/>
          </w:tcPr>
          <w:p w14:paraId="5B01138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2985" w:type="dxa"/>
            <w:vMerge w:val="restart"/>
            <w:noWrap w:val="0"/>
            <w:vAlign w:val="center"/>
          </w:tcPr>
          <w:p w14:paraId="5870223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《工程测量标准》（GB50026-2020）</w:t>
            </w:r>
          </w:p>
          <w:p w14:paraId="3A5C18B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《建筑变形技术规范》（JGJ8-2016）</w:t>
            </w:r>
          </w:p>
          <w:p w14:paraId="1FED92F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《工程测量通用规范》（GB55018-2021）</w:t>
            </w:r>
          </w:p>
        </w:tc>
      </w:tr>
      <w:tr w14:paraId="10F2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Merge w:val="continue"/>
            <w:noWrap w:val="0"/>
            <w:vAlign w:val="center"/>
          </w:tcPr>
          <w:p w14:paraId="6B43A63A">
            <w:pPr>
              <w:jc w:val="center"/>
              <w:rPr>
                <w:rFonts w:hint="eastAsia" w:ascii="宋体" w:hAnsi="宋体" w:eastAsia="宋体" w:cs="宋体"/>
                <w:i w:val="0"/>
                <w:iCs w:val="0"/>
                <w:color w:val="000000"/>
                <w:sz w:val="20"/>
                <w:szCs w:val="20"/>
                <w:u w:val="none"/>
              </w:rPr>
            </w:pPr>
          </w:p>
        </w:tc>
        <w:tc>
          <w:tcPr>
            <w:tcW w:w="570" w:type="dxa"/>
            <w:noWrap w:val="0"/>
            <w:vAlign w:val="center"/>
          </w:tcPr>
          <w:p w14:paraId="122809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0" w:type="dxa"/>
            <w:noWrap w:val="0"/>
            <w:vAlign w:val="center"/>
          </w:tcPr>
          <w:p w14:paraId="2F7E736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1#3#4#5#9#14#18#2#6#7#8#10#11#12#13#15#16#17#</w:t>
            </w:r>
            <w:r>
              <w:rPr>
                <w:rFonts w:hint="eastAsia" w:ascii="宋体" w:hAnsi="宋体" w:eastAsia="宋体" w:cs="宋体"/>
                <w:i w:val="0"/>
                <w:iCs w:val="0"/>
                <w:color w:val="000000"/>
                <w:sz w:val="20"/>
                <w:szCs w:val="20"/>
                <w:u w:val="none"/>
                <w:lang w:val="en-US" w:eastAsia="zh-CN"/>
              </w:rPr>
              <w:t>高层</w:t>
            </w:r>
            <w:r>
              <w:rPr>
                <w:rFonts w:hint="eastAsia" w:ascii="宋体" w:hAnsi="宋体" w:eastAsia="宋体" w:cs="宋体"/>
                <w:i w:val="0"/>
                <w:iCs w:val="0"/>
                <w:color w:val="000000"/>
                <w:sz w:val="20"/>
                <w:szCs w:val="20"/>
                <w:u w:val="none"/>
              </w:rPr>
              <w:t>住宅楼</w:t>
            </w:r>
          </w:p>
        </w:tc>
        <w:tc>
          <w:tcPr>
            <w:tcW w:w="1230" w:type="dxa"/>
            <w:noWrap w:val="0"/>
            <w:vAlign w:val="center"/>
          </w:tcPr>
          <w:p w14:paraId="49390D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元/点·次</w:t>
            </w:r>
          </w:p>
        </w:tc>
        <w:tc>
          <w:tcPr>
            <w:tcW w:w="660" w:type="dxa"/>
            <w:noWrap w:val="0"/>
            <w:vAlign w:val="center"/>
          </w:tcPr>
          <w:p w14:paraId="4D58ABEE">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123</w:t>
            </w:r>
          </w:p>
        </w:tc>
        <w:tc>
          <w:tcPr>
            <w:tcW w:w="720" w:type="dxa"/>
            <w:noWrap w:val="0"/>
            <w:vAlign w:val="center"/>
          </w:tcPr>
          <w:p w14:paraId="2E480B19">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11</w:t>
            </w:r>
          </w:p>
        </w:tc>
        <w:tc>
          <w:tcPr>
            <w:tcW w:w="2985" w:type="dxa"/>
            <w:vMerge w:val="continue"/>
            <w:noWrap w:val="0"/>
            <w:vAlign w:val="center"/>
          </w:tcPr>
          <w:p w14:paraId="18EDD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CC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Merge w:val="continue"/>
            <w:noWrap w:val="0"/>
            <w:vAlign w:val="center"/>
          </w:tcPr>
          <w:p w14:paraId="6C9F36EE">
            <w:pPr>
              <w:jc w:val="center"/>
              <w:rPr>
                <w:rFonts w:hint="eastAsia" w:ascii="宋体" w:hAnsi="宋体" w:eastAsia="宋体" w:cs="宋体"/>
                <w:i w:val="0"/>
                <w:iCs w:val="0"/>
                <w:color w:val="000000"/>
                <w:sz w:val="20"/>
                <w:szCs w:val="20"/>
                <w:u w:val="none"/>
              </w:rPr>
            </w:pPr>
          </w:p>
        </w:tc>
        <w:tc>
          <w:tcPr>
            <w:tcW w:w="570" w:type="dxa"/>
            <w:noWrap w:val="0"/>
            <w:vAlign w:val="center"/>
          </w:tcPr>
          <w:p w14:paraId="6F4A881B">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00" w:type="dxa"/>
            <w:noWrap w:val="0"/>
            <w:vAlign w:val="center"/>
          </w:tcPr>
          <w:p w14:paraId="4281324A">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20#~31#多层住宅</w:t>
            </w:r>
          </w:p>
        </w:tc>
        <w:tc>
          <w:tcPr>
            <w:tcW w:w="1230" w:type="dxa"/>
            <w:noWrap w:val="0"/>
            <w:vAlign w:val="center"/>
          </w:tcPr>
          <w:p w14:paraId="17C71E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元/点·次</w:t>
            </w:r>
          </w:p>
        </w:tc>
        <w:tc>
          <w:tcPr>
            <w:tcW w:w="660" w:type="dxa"/>
            <w:noWrap w:val="0"/>
            <w:vAlign w:val="center"/>
          </w:tcPr>
          <w:p w14:paraId="4945297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72</w:t>
            </w:r>
          </w:p>
        </w:tc>
        <w:tc>
          <w:tcPr>
            <w:tcW w:w="720" w:type="dxa"/>
            <w:noWrap w:val="0"/>
            <w:vAlign w:val="center"/>
          </w:tcPr>
          <w:p w14:paraId="67B093D8">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10</w:t>
            </w:r>
          </w:p>
        </w:tc>
        <w:tc>
          <w:tcPr>
            <w:tcW w:w="2985" w:type="dxa"/>
            <w:vMerge w:val="continue"/>
            <w:noWrap w:val="0"/>
            <w:vAlign w:val="center"/>
          </w:tcPr>
          <w:p w14:paraId="01FBA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C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Merge w:val="continue"/>
            <w:noWrap w:val="0"/>
            <w:vAlign w:val="center"/>
          </w:tcPr>
          <w:p w14:paraId="647C0B00">
            <w:pPr>
              <w:jc w:val="center"/>
              <w:rPr>
                <w:rFonts w:hint="eastAsia" w:ascii="宋体" w:hAnsi="宋体" w:eastAsia="宋体" w:cs="宋体"/>
                <w:i w:val="0"/>
                <w:iCs w:val="0"/>
                <w:color w:val="000000"/>
                <w:sz w:val="20"/>
                <w:szCs w:val="20"/>
                <w:u w:val="none"/>
              </w:rPr>
            </w:pPr>
          </w:p>
        </w:tc>
        <w:tc>
          <w:tcPr>
            <w:tcW w:w="570" w:type="dxa"/>
            <w:noWrap w:val="0"/>
            <w:vAlign w:val="center"/>
          </w:tcPr>
          <w:p w14:paraId="0A1CA624">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00" w:type="dxa"/>
            <w:noWrap w:val="0"/>
            <w:vAlign w:val="center"/>
          </w:tcPr>
          <w:p w14:paraId="39E8FA76">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19#配套房</w:t>
            </w:r>
          </w:p>
        </w:tc>
        <w:tc>
          <w:tcPr>
            <w:tcW w:w="1230" w:type="dxa"/>
            <w:noWrap w:val="0"/>
            <w:vAlign w:val="center"/>
          </w:tcPr>
          <w:p w14:paraId="616359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元/点·次</w:t>
            </w:r>
          </w:p>
        </w:tc>
        <w:tc>
          <w:tcPr>
            <w:tcW w:w="660" w:type="dxa"/>
            <w:noWrap w:val="0"/>
            <w:vAlign w:val="center"/>
          </w:tcPr>
          <w:p w14:paraId="3E774FE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4</w:t>
            </w:r>
          </w:p>
        </w:tc>
        <w:tc>
          <w:tcPr>
            <w:tcW w:w="720" w:type="dxa"/>
            <w:noWrap w:val="0"/>
            <w:vAlign w:val="center"/>
          </w:tcPr>
          <w:p w14:paraId="234EBA6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10</w:t>
            </w:r>
          </w:p>
        </w:tc>
        <w:tc>
          <w:tcPr>
            <w:tcW w:w="2985" w:type="dxa"/>
            <w:vMerge w:val="continue"/>
            <w:noWrap w:val="0"/>
            <w:vAlign w:val="center"/>
          </w:tcPr>
          <w:p w14:paraId="30457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9D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Merge w:val="continue"/>
            <w:noWrap w:val="0"/>
            <w:vAlign w:val="center"/>
          </w:tcPr>
          <w:p w14:paraId="23953601">
            <w:pPr>
              <w:jc w:val="center"/>
              <w:rPr>
                <w:rFonts w:hint="eastAsia" w:ascii="宋体" w:hAnsi="宋体" w:eastAsia="宋体" w:cs="宋体"/>
                <w:i w:val="0"/>
                <w:iCs w:val="0"/>
                <w:color w:val="000000"/>
                <w:sz w:val="20"/>
                <w:szCs w:val="20"/>
                <w:u w:val="none"/>
              </w:rPr>
            </w:pPr>
          </w:p>
        </w:tc>
        <w:tc>
          <w:tcPr>
            <w:tcW w:w="570" w:type="dxa"/>
            <w:noWrap w:val="0"/>
            <w:vAlign w:val="center"/>
          </w:tcPr>
          <w:p w14:paraId="25D417A4">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00" w:type="dxa"/>
            <w:noWrap w:val="0"/>
            <w:vAlign w:val="center"/>
          </w:tcPr>
          <w:p w14:paraId="22666144">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32#幼儿园</w:t>
            </w:r>
          </w:p>
        </w:tc>
        <w:tc>
          <w:tcPr>
            <w:tcW w:w="1230" w:type="dxa"/>
            <w:noWrap w:val="0"/>
            <w:vAlign w:val="center"/>
          </w:tcPr>
          <w:p w14:paraId="799E0E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元/点·次</w:t>
            </w:r>
          </w:p>
        </w:tc>
        <w:tc>
          <w:tcPr>
            <w:tcW w:w="660" w:type="dxa"/>
            <w:noWrap w:val="0"/>
            <w:vAlign w:val="center"/>
          </w:tcPr>
          <w:p w14:paraId="2F0A635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9</w:t>
            </w:r>
          </w:p>
        </w:tc>
        <w:tc>
          <w:tcPr>
            <w:tcW w:w="720" w:type="dxa"/>
            <w:noWrap w:val="0"/>
            <w:vAlign w:val="center"/>
          </w:tcPr>
          <w:p w14:paraId="64B00F0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10</w:t>
            </w:r>
          </w:p>
        </w:tc>
        <w:tc>
          <w:tcPr>
            <w:tcW w:w="2985" w:type="dxa"/>
            <w:vMerge w:val="continue"/>
            <w:noWrap w:val="0"/>
            <w:vAlign w:val="center"/>
          </w:tcPr>
          <w:p w14:paraId="2E8AF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3C91DFA4">
      <w:pPr>
        <w:numPr>
          <w:ilvl w:val="0"/>
          <w:numId w:val="0"/>
        </w:numPr>
        <w:ind w:firstLine="480" w:firstLineChars="200"/>
        <w:outlineLvl w:val="0"/>
        <w:rPr>
          <w:rFonts w:hint="eastAsia" w:ascii="宋体" w:hAnsi="宋体" w:eastAsia="宋体" w:cs="宋体"/>
          <w:b w:val="0"/>
          <w:bCs/>
          <w:kern w:val="1"/>
          <w:sz w:val="24"/>
          <w:szCs w:val="24"/>
        </w:rPr>
      </w:pPr>
      <w:r>
        <w:rPr>
          <w:rFonts w:hint="eastAsia" w:ascii="宋体" w:hAnsi="宋体" w:eastAsia="宋体" w:cs="宋体"/>
          <w:b w:val="0"/>
          <w:bCs/>
          <w:kern w:val="1"/>
          <w:sz w:val="24"/>
          <w:szCs w:val="24"/>
          <w:lang w:val="en-US" w:eastAsia="zh-CN"/>
        </w:rPr>
        <w:t>注：</w:t>
      </w:r>
      <w:r>
        <w:rPr>
          <w:rFonts w:hint="eastAsia" w:ascii="宋体" w:hAnsi="宋体" w:eastAsia="宋体" w:cs="宋体"/>
          <w:b w:val="0"/>
          <w:bCs/>
          <w:kern w:val="1"/>
          <w:sz w:val="24"/>
          <w:szCs w:val="24"/>
        </w:rPr>
        <w:t>由项目建设进度、天气情况、现场地质情况等原因导致的增加监测频率、监测次数、监测点位数量，监测费用不增加。同时监测质量及次数需满足规范要求。</w:t>
      </w:r>
    </w:p>
    <w:p w14:paraId="4F7B5F87">
      <w:pPr>
        <w:numPr>
          <w:ilvl w:val="0"/>
          <w:numId w:val="1"/>
        </w:numPr>
        <w:ind w:firstLine="482"/>
        <w:outlineLvl w:val="0"/>
        <w:rPr>
          <w:rFonts w:hint="eastAsia" w:ascii="宋体" w:hAnsi="宋体" w:eastAsia="宋体" w:cs="宋体"/>
          <w:b/>
          <w:sz w:val="32"/>
          <w:szCs w:val="32"/>
          <w:lang w:val="en-US" w:eastAsia="zh-CN"/>
        </w:rPr>
      </w:pPr>
      <w:r>
        <w:rPr>
          <w:rFonts w:hint="eastAsia" w:ascii="宋体" w:hAnsi="宋体" w:eastAsia="宋体" w:cs="宋体"/>
          <w:b/>
          <w:kern w:val="1"/>
          <w:sz w:val="28"/>
          <w:szCs w:val="28"/>
          <w:lang w:val="en-US" w:eastAsia="zh-CN"/>
        </w:rPr>
        <w:t>基坑监测内容</w:t>
      </w:r>
      <w:r>
        <w:rPr>
          <w:rFonts w:hint="eastAsia" w:ascii="宋体" w:hAnsi="宋体" w:eastAsia="宋体" w:cs="宋体"/>
          <w:b/>
          <w:kern w:val="1"/>
          <w:sz w:val="28"/>
          <w:szCs w:val="28"/>
        </w:rPr>
        <w:t>及依据</w:t>
      </w:r>
    </w:p>
    <w:tbl>
      <w:tblPr>
        <w:tblStyle w:val="9"/>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325"/>
        <w:gridCol w:w="720"/>
        <w:gridCol w:w="1512"/>
        <w:gridCol w:w="765"/>
        <w:gridCol w:w="2802"/>
      </w:tblGrid>
      <w:tr w14:paraId="588B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99AD8B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DF317B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监测项目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FB3F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631FD6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工程数量</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D7EC8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次数</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14:paraId="7FB0BC7C">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检测依据</w:t>
            </w:r>
          </w:p>
        </w:tc>
      </w:tr>
      <w:tr w14:paraId="6FD8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4900D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w:t>
            </w:r>
          </w:p>
        </w:tc>
        <w:tc>
          <w:tcPr>
            <w:tcW w:w="8124" w:type="dxa"/>
            <w:gridSpan w:val="5"/>
            <w:tcBorders>
              <w:top w:val="single" w:color="000000" w:sz="4" w:space="0"/>
              <w:left w:val="single" w:color="000000" w:sz="4" w:space="0"/>
              <w:bottom w:val="single" w:color="000000" w:sz="4" w:space="0"/>
              <w:right w:val="single" w:color="000000" w:sz="4" w:space="0"/>
            </w:tcBorders>
            <w:noWrap w:val="0"/>
            <w:vAlign w:val="center"/>
          </w:tcPr>
          <w:p w14:paraId="0724761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基坑材料、埋设</w:t>
            </w:r>
          </w:p>
        </w:tc>
      </w:tr>
      <w:tr w14:paraId="61CB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5092B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2CB07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监测基准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403A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21B39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5B0EA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restart"/>
            <w:tcBorders>
              <w:top w:val="single" w:color="000000" w:sz="4" w:space="0"/>
              <w:left w:val="single" w:color="000000" w:sz="4" w:space="0"/>
              <w:right w:val="single" w:color="000000" w:sz="4" w:space="0"/>
            </w:tcBorders>
            <w:noWrap/>
            <w:vAlign w:val="center"/>
          </w:tcPr>
          <w:p w14:paraId="3631E6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《建筑基坑支护技术规程》（JGJ120-2012）</w:t>
            </w:r>
          </w:p>
          <w:p w14:paraId="1AC27A0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《建筑基坑工程监测技术标准》（GB50497-2019）</w:t>
            </w:r>
          </w:p>
          <w:p w14:paraId="36759D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《工程测量标准》（GB50026-2020）</w:t>
            </w:r>
          </w:p>
        </w:tc>
      </w:tr>
      <w:tr w14:paraId="0F98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7AF7BA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FB9C1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顶部水平位移监测</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8917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65554">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r>
              <w:rPr>
                <w:rFonts w:hint="eastAsia" w:ascii="宋体" w:hAnsi="宋体" w:eastAsia="宋体" w:cs="宋体"/>
                <w:i w:val="0"/>
                <w:iCs w:val="0"/>
                <w:color w:val="auto"/>
                <w:kern w:val="0"/>
                <w:sz w:val="20"/>
                <w:szCs w:val="20"/>
                <w:highlight w:val="none"/>
                <w:u w:val="none"/>
                <w:shd w:val="clear" w:color="auto" w:fill="auto"/>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F0CA3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right w:val="single" w:color="000000" w:sz="4" w:space="0"/>
            </w:tcBorders>
            <w:noWrap/>
            <w:vAlign w:val="center"/>
          </w:tcPr>
          <w:p w14:paraId="6455FC4A">
            <w:pPr>
              <w:spacing w:line="240" w:lineRule="auto"/>
              <w:jc w:val="center"/>
              <w:rPr>
                <w:rFonts w:hint="eastAsia" w:ascii="宋体" w:hAnsi="宋体" w:eastAsia="宋体" w:cs="宋体"/>
                <w:i w:val="0"/>
                <w:iCs w:val="0"/>
                <w:color w:val="000000"/>
                <w:sz w:val="28"/>
                <w:szCs w:val="28"/>
                <w:u w:val="none"/>
              </w:rPr>
            </w:pPr>
          </w:p>
        </w:tc>
      </w:tr>
      <w:tr w14:paraId="27D1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E5A9EB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B9921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顶部竖向位移监测</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E130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9BC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C19EA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right w:val="single" w:color="000000" w:sz="4" w:space="0"/>
            </w:tcBorders>
            <w:noWrap/>
            <w:vAlign w:val="center"/>
          </w:tcPr>
          <w:p w14:paraId="0E10626E">
            <w:pPr>
              <w:spacing w:line="240" w:lineRule="auto"/>
              <w:jc w:val="center"/>
              <w:rPr>
                <w:rFonts w:hint="eastAsia" w:ascii="宋体" w:hAnsi="宋体" w:eastAsia="宋体" w:cs="宋体"/>
                <w:i w:val="0"/>
                <w:iCs w:val="0"/>
                <w:color w:val="000000"/>
                <w:sz w:val="28"/>
                <w:szCs w:val="28"/>
                <w:u w:val="none"/>
              </w:rPr>
            </w:pPr>
          </w:p>
        </w:tc>
      </w:tr>
      <w:tr w14:paraId="71B8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C947B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9E5C6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周边地表竖向位移监测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E6942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EE3B8AA">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r>
              <w:rPr>
                <w:rFonts w:hint="eastAsia" w:ascii="宋体" w:hAnsi="宋体" w:eastAsia="宋体" w:cs="宋体"/>
                <w:i w:val="0"/>
                <w:iCs w:val="0"/>
                <w:color w:val="auto"/>
                <w:kern w:val="0"/>
                <w:sz w:val="20"/>
                <w:szCs w:val="20"/>
                <w:highlight w:val="none"/>
                <w:u w:val="none"/>
                <w:shd w:val="clear" w:color="auto" w:fill="auto"/>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5C6C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right w:val="single" w:color="000000" w:sz="4" w:space="0"/>
            </w:tcBorders>
            <w:noWrap/>
            <w:vAlign w:val="center"/>
          </w:tcPr>
          <w:p w14:paraId="5689E802">
            <w:pPr>
              <w:spacing w:line="240" w:lineRule="auto"/>
              <w:jc w:val="center"/>
              <w:rPr>
                <w:rFonts w:hint="eastAsia" w:ascii="宋体" w:hAnsi="宋体" w:eastAsia="宋体" w:cs="宋体"/>
                <w:i w:val="0"/>
                <w:iCs w:val="0"/>
                <w:color w:val="000000"/>
                <w:sz w:val="28"/>
                <w:szCs w:val="28"/>
                <w:u w:val="none"/>
              </w:rPr>
            </w:pPr>
          </w:p>
        </w:tc>
      </w:tr>
      <w:tr w14:paraId="7BF3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9FD92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FDC59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深层水平位移监测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F67C6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95334F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17</w:t>
            </w:r>
          </w:p>
          <w:p w14:paraId="726224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（每孔18米）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AD13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right w:val="single" w:color="000000" w:sz="4" w:space="0"/>
            </w:tcBorders>
            <w:noWrap/>
            <w:vAlign w:val="center"/>
          </w:tcPr>
          <w:p w14:paraId="3D327E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p>
        </w:tc>
      </w:tr>
      <w:tr w14:paraId="771A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3555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40885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锚索内力监测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ED29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DFC5E3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31B84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right w:val="single" w:color="000000" w:sz="4" w:space="0"/>
            </w:tcBorders>
            <w:noWrap/>
            <w:vAlign w:val="center"/>
          </w:tcPr>
          <w:p w14:paraId="69865453">
            <w:pPr>
              <w:spacing w:line="240" w:lineRule="auto"/>
              <w:jc w:val="center"/>
              <w:rPr>
                <w:rFonts w:hint="eastAsia" w:ascii="宋体" w:hAnsi="宋体" w:eastAsia="宋体" w:cs="宋体"/>
                <w:i w:val="0"/>
                <w:iCs w:val="0"/>
                <w:color w:val="000000"/>
                <w:sz w:val="28"/>
                <w:szCs w:val="28"/>
                <w:u w:val="none"/>
              </w:rPr>
            </w:pPr>
          </w:p>
        </w:tc>
      </w:tr>
      <w:tr w14:paraId="1B36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A6150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325" w:type="dxa"/>
            <w:tcBorders>
              <w:top w:val="single" w:color="000000" w:sz="4" w:space="0"/>
              <w:left w:val="single" w:color="000000" w:sz="4" w:space="0"/>
              <w:bottom w:val="single" w:color="000000" w:sz="4" w:space="0"/>
              <w:right w:val="nil"/>
            </w:tcBorders>
            <w:noWrap w:val="0"/>
            <w:vAlign w:val="center"/>
          </w:tcPr>
          <w:p w14:paraId="33915C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地下水位监测</w:t>
            </w:r>
          </w:p>
        </w:tc>
        <w:tc>
          <w:tcPr>
            <w:tcW w:w="720" w:type="dxa"/>
            <w:tcBorders>
              <w:top w:val="single" w:color="000000" w:sz="4" w:space="0"/>
              <w:left w:val="nil"/>
              <w:bottom w:val="single" w:color="000000" w:sz="4" w:space="0"/>
              <w:right w:val="single" w:color="000000" w:sz="4" w:space="0"/>
            </w:tcBorders>
            <w:noWrap w:val="0"/>
            <w:vAlign w:val="center"/>
          </w:tcPr>
          <w:p w14:paraId="227966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B42850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10（每孔11米）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BDBFF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802" w:type="dxa"/>
            <w:vMerge w:val="continue"/>
            <w:tcBorders>
              <w:left w:val="single" w:color="000000" w:sz="4" w:space="0"/>
              <w:bottom w:val="single" w:color="000000" w:sz="4" w:space="0"/>
              <w:right w:val="single" w:color="000000" w:sz="4" w:space="0"/>
            </w:tcBorders>
            <w:noWrap/>
            <w:vAlign w:val="center"/>
          </w:tcPr>
          <w:p w14:paraId="1D2B2E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p>
        </w:tc>
      </w:tr>
      <w:tr w14:paraId="7C6C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20B38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w:t>
            </w:r>
          </w:p>
        </w:tc>
        <w:tc>
          <w:tcPr>
            <w:tcW w:w="8124" w:type="dxa"/>
            <w:gridSpan w:val="5"/>
            <w:tcBorders>
              <w:top w:val="single" w:color="000000" w:sz="4" w:space="0"/>
              <w:left w:val="single" w:color="000000" w:sz="4" w:space="0"/>
              <w:bottom w:val="single" w:color="000000" w:sz="4" w:space="0"/>
              <w:right w:val="single" w:color="000000" w:sz="4" w:space="0"/>
            </w:tcBorders>
            <w:noWrap w:val="0"/>
            <w:vAlign w:val="center"/>
          </w:tcPr>
          <w:p w14:paraId="0EA33E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基坑观测</w:t>
            </w:r>
          </w:p>
        </w:tc>
      </w:tr>
      <w:tr w14:paraId="0407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06A34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A258C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水平基准监测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6147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561FFD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DA610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802" w:type="dxa"/>
            <w:vMerge w:val="restart"/>
            <w:tcBorders>
              <w:top w:val="single" w:color="000000" w:sz="4" w:space="0"/>
              <w:left w:val="single" w:color="000000" w:sz="4" w:space="0"/>
              <w:right w:val="single" w:color="000000" w:sz="4" w:space="0"/>
            </w:tcBorders>
            <w:noWrap/>
            <w:vAlign w:val="center"/>
          </w:tcPr>
          <w:p w14:paraId="67F1E53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《建筑基坑支护技术规程》（JGJ120-2012）</w:t>
            </w:r>
          </w:p>
          <w:p w14:paraId="0F1C52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《建筑基坑工程监测技术标准》（GB50497-2019）</w:t>
            </w:r>
          </w:p>
          <w:p w14:paraId="48F736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《工程测量标准》（GB50026-2020）</w:t>
            </w:r>
          </w:p>
        </w:tc>
      </w:tr>
      <w:tr w14:paraId="2E58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B7C1A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E8726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竖向基准监测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80DA4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点·KM</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EE9F2F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8968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802" w:type="dxa"/>
            <w:vMerge w:val="continue"/>
            <w:tcBorders>
              <w:left w:val="single" w:color="000000" w:sz="4" w:space="0"/>
              <w:right w:val="single" w:color="000000" w:sz="4" w:space="0"/>
            </w:tcBorders>
            <w:noWrap/>
            <w:vAlign w:val="center"/>
          </w:tcPr>
          <w:p w14:paraId="4F59FF6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D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D50C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D0B017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顶部水平位移监测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1DA1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939DE1A">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0D2EAA">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right w:val="single" w:color="000000" w:sz="4" w:space="0"/>
            </w:tcBorders>
            <w:noWrap/>
            <w:vAlign w:val="center"/>
          </w:tcPr>
          <w:p w14:paraId="6ED8D7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B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446F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3BF45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顶部竖向位移监测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DD18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F4922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585445">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right w:val="single" w:color="000000" w:sz="4" w:space="0"/>
            </w:tcBorders>
            <w:noWrap/>
            <w:vAlign w:val="center"/>
          </w:tcPr>
          <w:p w14:paraId="68C697F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B9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73635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AD45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周边地表竖向位移监测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1CD31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021C642">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795C9F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right w:val="single" w:color="000000" w:sz="4" w:space="0"/>
            </w:tcBorders>
            <w:noWrap/>
            <w:vAlign w:val="center"/>
          </w:tcPr>
          <w:p w14:paraId="76115A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E5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CD77E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4C469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深层水平位移监测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FE4D8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613F819">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CD30BF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right w:val="single" w:color="000000" w:sz="4" w:space="0"/>
            </w:tcBorders>
            <w:noWrap/>
            <w:vAlign w:val="center"/>
          </w:tcPr>
          <w:p w14:paraId="2740D25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96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5A3A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C56B0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锚索内力监测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DEAE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2351C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FC3096C">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right w:val="single" w:color="000000" w:sz="4" w:space="0"/>
            </w:tcBorders>
            <w:noWrap/>
            <w:vAlign w:val="center"/>
          </w:tcPr>
          <w:p w14:paraId="2718E25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74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D2A6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325" w:type="dxa"/>
            <w:tcBorders>
              <w:top w:val="single" w:color="000000" w:sz="4" w:space="0"/>
              <w:left w:val="single" w:color="000000" w:sz="4" w:space="0"/>
              <w:bottom w:val="single" w:color="000000" w:sz="4" w:space="0"/>
              <w:right w:val="nil"/>
            </w:tcBorders>
            <w:noWrap w:val="0"/>
            <w:vAlign w:val="center"/>
          </w:tcPr>
          <w:p w14:paraId="6DA0711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地下水位监测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B2642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318EA3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C97D9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802" w:type="dxa"/>
            <w:vMerge w:val="continue"/>
            <w:tcBorders>
              <w:left w:val="single" w:color="000000" w:sz="4" w:space="0"/>
              <w:bottom w:val="single" w:color="000000" w:sz="4" w:space="0"/>
              <w:right w:val="single" w:color="000000" w:sz="4" w:space="0"/>
            </w:tcBorders>
            <w:noWrap/>
            <w:vAlign w:val="center"/>
          </w:tcPr>
          <w:p w14:paraId="51CD007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38585AA">
      <w:pPr>
        <w:numPr>
          <w:ilvl w:val="0"/>
          <w:numId w:val="0"/>
        </w:numPr>
        <w:ind w:firstLine="480" w:firstLineChars="200"/>
        <w:rPr>
          <w:rFonts w:hint="eastAsia" w:ascii="宋体" w:hAnsi="宋体" w:eastAsia="宋体" w:cs="宋体"/>
          <w:b w:val="0"/>
          <w:bCs/>
          <w:kern w:val="1"/>
          <w:sz w:val="24"/>
          <w:szCs w:val="24"/>
          <w:lang w:val="en-US" w:eastAsia="zh-CN"/>
        </w:rPr>
      </w:pPr>
      <w:r>
        <w:rPr>
          <w:rFonts w:hint="eastAsia" w:ascii="宋体" w:hAnsi="宋体" w:eastAsia="宋体" w:cs="宋体"/>
          <w:b w:val="0"/>
          <w:bCs/>
          <w:kern w:val="1"/>
          <w:sz w:val="24"/>
          <w:szCs w:val="24"/>
          <w:lang w:val="en-US" w:eastAsia="zh-CN"/>
        </w:rPr>
        <w:t>注：</w:t>
      </w:r>
      <w:r>
        <w:rPr>
          <w:rFonts w:hint="eastAsia" w:ascii="宋体" w:hAnsi="宋体" w:eastAsia="宋体" w:cs="宋体"/>
          <w:b w:val="0"/>
          <w:bCs/>
          <w:kern w:val="1"/>
          <w:sz w:val="24"/>
          <w:szCs w:val="24"/>
        </w:rPr>
        <w:t>由项目建设进度、天气情况、现场地质情况等原因导致的增加监测频率、监测次数、监测点位数量，监测费用不增加。同时监测质量及次数需满足规范要求</w:t>
      </w:r>
      <w:bookmarkStart w:id="6" w:name="_GoBack"/>
      <w:bookmarkEnd w:id="6"/>
      <w:r>
        <w:rPr>
          <w:rFonts w:hint="eastAsia" w:ascii="宋体" w:hAnsi="宋体" w:eastAsia="宋体" w:cs="宋体"/>
          <w:b w:val="0"/>
          <w:bCs/>
          <w:kern w:val="1"/>
          <w:sz w:val="24"/>
          <w:szCs w:val="24"/>
        </w:rPr>
        <w:t>。</w:t>
      </w:r>
    </w:p>
    <w:p w14:paraId="0778600F">
      <w:pPr>
        <w:numPr>
          <w:ilvl w:val="0"/>
          <w:numId w:val="1"/>
        </w:numPr>
        <w:ind w:left="0" w:leftChars="0"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周边环境监测</w:t>
      </w:r>
    </w:p>
    <w:p w14:paraId="67BB3CBF">
      <w:pPr>
        <w:spacing w:line="360" w:lineRule="auto"/>
        <w:ind w:firstLine="480" w:firstLineChars="200"/>
        <w:rPr>
          <w:rFonts w:hint="eastAsia" w:ascii="仿宋" w:hAnsi="仿宋" w:eastAsia="仿宋" w:cs="仿宋"/>
          <w:sz w:val="28"/>
          <w:szCs w:val="28"/>
        </w:rPr>
      </w:pPr>
      <w:r>
        <w:rPr>
          <w:rFonts w:hint="eastAsia" w:ascii="宋体" w:hAnsi="宋体" w:eastAsia="宋体" w:cs="宋体"/>
          <w:color w:val="auto"/>
          <w:sz w:val="24"/>
          <w:lang w:val="en-US" w:eastAsia="zh-CN"/>
        </w:rPr>
        <w:t>除上述主体沉降观测、基坑监测内容以外，本工程需对周边现状道路、周边建筑物及构筑物、周边管线等按国家规范进行沉降观测，监测、观测点位按国家规范要求布置，此部分费用综合考虑，不单独记取。</w:t>
      </w:r>
      <w:permEnd w:id="83"/>
    </w:p>
    <w:sectPr>
      <w:headerReference r:id="rId8" w:type="default"/>
      <w:pgSz w:w="11906" w:h="16838"/>
      <w:pgMar w:top="1440" w:right="1474"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15130"/>
    </w:sdtPr>
    <w:sdtContent>
      <w:p w14:paraId="0D9D0568">
        <w:pPr>
          <w:pStyle w:val="6"/>
          <w:jc w:val="center"/>
        </w:pPr>
        <w:r>
          <w:fldChar w:fldCharType="begin"/>
        </w:r>
        <w:r>
          <w:instrText xml:space="preserve">PAGE   \* MERGEFORMAT</w:instrText>
        </w:r>
        <w:r>
          <w:fldChar w:fldCharType="separate"/>
        </w:r>
        <w:r>
          <w:rPr>
            <w:lang w:val="zh-CN"/>
          </w:rPr>
          <w:t>2</w:t>
        </w:r>
        <w:r>
          <w:fldChar w:fldCharType="end"/>
        </w:r>
      </w:p>
    </w:sdtContent>
  </w:sdt>
  <w:p w14:paraId="6A09822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06E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EFAA">
    <w:pPr>
      <w:pStyle w:val="7"/>
      <w:jc w:val="left"/>
    </w:pPr>
    <w:r>
      <w:rPr>
        <w:rFonts w:hint="eastAsia"/>
      </w:rPr>
      <w:t>基坑监测技术服务合同S</w:t>
    </w:r>
    <w:r>
      <w:t>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787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FFEE">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97B5">
    <w:pPr>
      <w:pStyle w:val="7"/>
      <w:jc w:val="left"/>
      <w:rPr>
        <w:rFonts w:hint="eastAsia" w:ascii="仿宋" w:hAnsi="仿宋" w:eastAsia="仿宋" w:cs="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2D7B6"/>
    <w:multiLevelType w:val="singleLevel"/>
    <w:tmpl w:val="5952D7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0REgqDbJ1UMmXGyikBqk8c2AHuA=" w:salt="BAsyYl2kmWm9N2R9KgBVr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2MTU5ODM3ZmQ4ZTA5ZTA1YjM2MjU4OTQxYWFlNzAifQ=="/>
  </w:docVars>
  <w:rsids>
    <w:rsidRoot w:val="00461143"/>
    <w:rsid w:val="000C6F65"/>
    <w:rsid w:val="000E22AC"/>
    <w:rsid w:val="000E59A2"/>
    <w:rsid w:val="0010512C"/>
    <w:rsid w:val="001A2653"/>
    <w:rsid w:val="00213B92"/>
    <w:rsid w:val="00237D17"/>
    <w:rsid w:val="003A66BD"/>
    <w:rsid w:val="00461143"/>
    <w:rsid w:val="005308D9"/>
    <w:rsid w:val="00615EB6"/>
    <w:rsid w:val="00646635"/>
    <w:rsid w:val="006571FE"/>
    <w:rsid w:val="00753658"/>
    <w:rsid w:val="00760ABC"/>
    <w:rsid w:val="007B7930"/>
    <w:rsid w:val="008B0FFC"/>
    <w:rsid w:val="0091249E"/>
    <w:rsid w:val="00A02EA0"/>
    <w:rsid w:val="00A06BF8"/>
    <w:rsid w:val="00AA176C"/>
    <w:rsid w:val="00AD2C9D"/>
    <w:rsid w:val="00AD4600"/>
    <w:rsid w:val="00B25946"/>
    <w:rsid w:val="00B632D9"/>
    <w:rsid w:val="00C57892"/>
    <w:rsid w:val="00D12C44"/>
    <w:rsid w:val="00DC6C63"/>
    <w:rsid w:val="00DE60FB"/>
    <w:rsid w:val="00E33381"/>
    <w:rsid w:val="00F07889"/>
    <w:rsid w:val="00FA15BF"/>
    <w:rsid w:val="06765CEE"/>
    <w:rsid w:val="10F62890"/>
    <w:rsid w:val="11333889"/>
    <w:rsid w:val="13060296"/>
    <w:rsid w:val="131A1508"/>
    <w:rsid w:val="13B2371C"/>
    <w:rsid w:val="13D80718"/>
    <w:rsid w:val="157C3A80"/>
    <w:rsid w:val="18502F73"/>
    <w:rsid w:val="189454A6"/>
    <w:rsid w:val="18A304E6"/>
    <w:rsid w:val="18F9401E"/>
    <w:rsid w:val="1BDC2D9C"/>
    <w:rsid w:val="1D1553B1"/>
    <w:rsid w:val="1D7A76D0"/>
    <w:rsid w:val="203637A2"/>
    <w:rsid w:val="20D560E2"/>
    <w:rsid w:val="24C175E9"/>
    <w:rsid w:val="2500668B"/>
    <w:rsid w:val="275D4EC3"/>
    <w:rsid w:val="310913B4"/>
    <w:rsid w:val="34791692"/>
    <w:rsid w:val="3CF950D8"/>
    <w:rsid w:val="3D4E5DE3"/>
    <w:rsid w:val="3FBC47D5"/>
    <w:rsid w:val="48BA5557"/>
    <w:rsid w:val="4FE23D43"/>
    <w:rsid w:val="54890697"/>
    <w:rsid w:val="58AB5ACE"/>
    <w:rsid w:val="5AED78B2"/>
    <w:rsid w:val="5CBB3F70"/>
    <w:rsid w:val="5CC000EE"/>
    <w:rsid w:val="5CE26837"/>
    <w:rsid w:val="5EBE6D71"/>
    <w:rsid w:val="5F370514"/>
    <w:rsid w:val="5F4B20ED"/>
    <w:rsid w:val="61F3071F"/>
    <w:rsid w:val="644C3BBB"/>
    <w:rsid w:val="66A762C2"/>
    <w:rsid w:val="67E1461B"/>
    <w:rsid w:val="69E61C57"/>
    <w:rsid w:val="6BE74745"/>
    <w:rsid w:val="6BF541E3"/>
    <w:rsid w:val="6CE93F71"/>
    <w:rsid w:val="6E82467D"/>
    <w:rsid w:val="6F2A3FCD"/>
    <w:rsid w:val="6FAB430F"/>
    <w:rsid w:val="75303118"/>
    <w:rsid w:val="76E24A80"/>
    <w:rsid w:val="78686692"/>
    <w:rsid w:val="793650A2"/>
    <w:rsid w:val="7C3074C7"/>
    <w:rsid w:val="7C6F69C7"/>
    <w:rsid w:val="7D4959E7"/>
    <w:rsid w:val="7EB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semiHidden/>
    <w:unhideWhenUsed/>
    <w:qFormat/>
    <w:uiPriority w:val="0"/>
    <w:pPr>
      <w:spacing w:line="360" w:lineRule="auto"/>
      <w:ind w:firstLine="200" w:firstLineChars="200"/>
      <w:jc w:val="left"/>
    </w:pPr>
    <w:rPr>
      <w:rFonts w:ascii="Calibri" w:hAnsi="Calibri" w:eastAsia="仿宋_GB2312" w:cs="Times New Roman"/>
      <w:kern w:val="0"/>
      <w:sz w:val="28"/>
      <w:szCs w:val="20"/>
    </w:rPr>
  </w:style>
  <w:style w:type="paragraph" w:styleId="4">
    <w:name w:val="Body Text"/>
    <w:basedOn w:val="1"/>
    <w:autoRedefine/>
    <w:semiHidden/>
    <w:qFormat/>
    <w:uiPriority w:val="0"/>
    <w:rPr>
      <w:rFonts w:ascii="宋体" w:hAnsi="宋体" w:eastAsia="宋体" w:cs="宋体"/>
      <w:sz w:val="32"/>
      <w:szCs w:val="32"/>
      <w:lang w:val="en-US" w:eastAsia="en-US" w:bidi="ar-SA"/>
    </w:rPr>
  </w:style>
  <w:style w:type="paragraph" w:styleId="5">
    <w:name w:val="Body Text Indent"/>
    <w:basedOn w:val="1"/>
    <w:link w:val="16"/>
    <w:semiHidden/>
    <w:unhideWhenUsed/>
    <w:qFormat/>
    <w:uiPriority w:val="99"/>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7"/>
    <w:semiHidden/>
    <w:unhideWhenUsed/>
    <w:qFormat/>
    <w:uiPriority w:val="0"/>
    <w:pPr>
      <w:adjustRightInd w:val="0"/>
      <w:spacing w:line="360" w:lineRule="auto"/>
      <w:ind w:firstLine="420" w:firstLineChars="200"/>
    </w:pPr>
    <w:rPr>
      <w:rFonts w:ascii="宋体" w:hAnsi="Times New Roman" w:eastAsia="仿宋" w:cs="Times New Roman"/>
      <w:kern w:val="0"/>
      <w:sz w:val="24"/>
      <w:szCs w:val="21"/>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首行缩进:  2 字符"/>
    <w:basedOn w:val="1"/>
    <w:autoRedefine/>
    <w:qFormat/>
    <w:uiPriority w:val="0"/>
    <w:pPr>
      <w:spacing w:line="360" w:lineRule="auto"/>
      <w:ind w:firstLine="560" w:firstLineChars="200"/>
    </w:pPr>
    <w:rPr>
      <w:rFonts w:ascii="仿宋_GB2312" w:hAnsi="Calibri" w:eastAsia="仿宋_GB2312" w:cs="宋体"/>
      <w:sz w:val="24"/>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文字 字符"/>
    <w:basedOn w:val="11"/>
    <w:link w:val="3"/>
    <w:semiHidden/>
    <w:qFormat/>
    <w:uiPriority w:val="0"/>
    <w:rPr>
      <w:rFonts w:ascii="Calibri" w:hAnsi="Calibri" w:eastAsia="仿宋_GB2312" w:cs="Times New Roman"/>
      <w:kern w:val="0"/>
      <w:sz w:val="28"/>
      <w:szCs w:val="20"/>
    </w:rPr>
  </w:style>
  <w:style w:type="character" w:customStyle="1" w:styleId="16">
    <w:name w:val="正文文本缩进 字符"/>
    <w:basedOn w:val="11"/>
    <w:link w:val="5"/>
    <w:autoRedefine/>
    <w:semiHidden/>
    <w:qFormat/>
    <w:uiPriority w:val="99"/>
  </w:style>
  <w:style w:type="character" w:customStyle="1" w:styleId="17">
    <w:name w:val="正文文本首行缩进 2 字符"/>
    <w:basedOn w:val="16"/>
    <w:link w:val="8"/>
    <w:autoRedefine/>
    <w:semiHidden/>
    <w:qFormat/>
    <w:uiPriority w:val="0"/>
    <w:rPr>
      <w:rFonts w:ascii="宋体" w:hAnsi="Times New Roman" w:eastAsia="仿宋" w:cs="Times New Roman"/>
      <w:kern w:val="0"/>
      <w:sz w:val="24"/>
      <w:szCs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11"/>
    <w:basedOn w:val="11"/>
    <w:autoRedefine/>
    <w:qFormat/>
    <w:uiPriority w:val="0"/>
    <w:rPr>
      <w:rFonts w:hint="eastAsia" w:ascii="宋体" w:hAnsi="宋体" w:eastAsia="宋体" w:cs="宋体"/>
      <w:color w:val="000000"/>
      <w:sz w:val="20"/>
      <w:szCs w:val="20"/>
      <w:u w:val="none"/>
    </w:rPr>
  </w:style>
  <w:style w:type="character" w:customStyle="1" w:styleId="20">
    <w:name w:val="标题 1 Char2"/>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8934</Words>
  <Characters>9532</Characters>
  <Lines>65</Lines>
  <Paragraphs>18</Paragraphs>
  <TotalTime>0</TotalTime>
  <ScaleCrop>false</ScaleCrop>
  <LinksUpToDate>false</LinksUpToDate>
  <CharactersWithSpaces>10576</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2021-08-12T00:42:00Z</dcterms:created>
  <dc:creator>chen zhongneng</dc:creator>
  <cp:lastModifiedBy>王丽珍</cp:lastModifiedBy>
  <dcterms:modified xsi:type="dcterms:W3CDTF">2025-07-22T08:30:40Z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48D5AD65-C387-4714-9EAF-52CBB2453667</vt:lpwstr>
  </property>
  <property fmtid="{D5CDD505-2E9C-101B-9397-08002B2CF9AE}" pid="4" name="ICV">
    <vt:lpwstr>B99C54BF8FFB4F0C8DD1067953E7DFE0_13</vt:lpwstr>
  </property>
  <property fmtid="{D5CDD505-2E9C-101B-9397-08002B2CF9AE}" pid="5" name="KSOProductBuildVer">
    <vt:lpwstr>2052-12.1.0.20784</vt:lpwstr>
  </property>
  <property fmtid="{D5CDD505-2E9C-101B-9397-08002B2CF9AE}" pid="6" name="KSOTemplateDocerSaveRecord">
    <vt:lpwstr>eyJoZGlkIjoiMzFlMzU4ZTZmZmU3NjRiNDhmN2ZiNjAxMmZkOTU5MDkiLCJ1c2VySWQiOiIxNjQ1NzIwOTI1In0=</vt:lpwstr>
  </property>
</Properties>
</file>