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3AC81">
      <w:pPr>
        <w:spacing w:after="100" w:afterAutospacing="1" w:line="500" w:lineRule="exact"/>
        <w:jc w:val="center"/>
        <w:rPr>
          <w:rFonts w:ascii="黑体" w:eastAsia="黑体"/>
          <w:sz w:val="36"/>
          <w:szCs w:val="36"/>
        </w:rPr>
      </w:pPr>
      <w:r>
        <w:rPr>
          <w:rFonts w:hint="eastAsia" w:ascii="方正小标宋简体" w:hAnsi="方正小标宋简体" w:eastAsia="方正小标宋简体" w:cs="方正小标宋简体"/>
          <w:sz w:val="44"/>
          <w:szCs w:val="44"/>
        </w:rPr>
        <w:t>购销合同</w:t>
      </w:r>
    </w:p>
    <w:p w14:paraId="6FBDBCAF">
      <w:pPr>
        <w:spacing w:after="100" w:afterAutospacing="1" w:line="560" w:lineRule="exact"/>
        <w:jc w:val="cente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合同编号：[ ]</w:t>
      </w:r>
    </w:p>
    <w:p w14:paraId="5CFC6E06">
      <w:pPr>
        <w:spacing w:line="560" w:lineRule="exact"/>
        <w:rPr>
          <w:rFonts w:hint="eastAsia" w:ascii="仿宋_GB2312" w:hAnsi="仿宋_GB2312" w:eastAsia="仿宋_GB2312" w:cs="仿宋_GB2312"/>
          <w:sz w:val="32"/>
          <w:szCs w:val="32"/>
        </w:rPr>
      </w:pPr>
      <w:r>
        <w:rPr>
          <w:rFonts w:hint="eastAsia" w:ascii="黑体" w:hAnsi="黑体" w:eastAsia="黑体" w:cs="仿宋_GB2312"/>
          <w:sz w:val="32"/>
          <w:szCs w:val="32"/>
        </w:rPr>
        <w:t>需求方（以下简称：甲方）：</w:t>
      </w:r>
      <w:r>
        <w:rPr>
          <w:rFonts w:hint="eastAsia" w:ascii="仿宋_GB2312" w:hAnsi="仿宋_GB2312" w:eastAsia="仿宋_GB2312" w:cs="仿宋_GB2312"/>
          <w:sz w:val="32"/>
          <w:szCs w:val="32"/>
        </w:rPr>
        <w:t>海南省桂林洋公用事业发展有限公司</w:t>
      </w:r>
    </w:p>
    <w:p w14:paraId="5B15BE1C">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经营地址：海口市桂林洋经济开发区兴洋大道94号</w:t>
      </w:r>
    </w:p>
    <w:p w14:paraId="6C2B2185">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统一社会信用代码：91460100MA5RF8R816</w:t>
      </w:r>
    </w:p>
    <w:p w14:paraId="4DB1D3FE">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周正栋</w:t>
      </w:r>
    </w:p>
    <w:p w14:paraId="3A1E87AC">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联系方式：0898-65710083</w:t>
      </w:r>
    </w:p>
    <w:p w14:paraId="4047A781">
      <w:pPr>
        <w:spacing w:line="560" w:lineRule="exact"/>
        <w:rPr>
          <w:rFonts w:hint="eastAsia" w:ascii="仿宋_GB2312" w:hAnsi="仿宋_GB2312" w:eastAsia="仿宋_GB2312" w:cs="仿宋_GB2312"/>
          <w:sz w:val="32"/>
          <w:szCs w:val="32"/>
        </w:rPr>
      </w:pPr>
    </w:p>
    <w:p w14:paraId="17F1C76C">
      <w:pPr>
        <w:spacing w:line="560" w:lineRule="exact"/>
        <w:rPr>
          <w:rFonts w:hint="eastAsia" w:ascii="黑体" w:hAnsi="黑体" w:eastAsia="黑体" w:cs="仿宋_GB2312"/>
          <w:sz w:val="32"/>
          <w:szCs w:val="32"/>
        </w:rPr>
      </w:pPr>
      <w:r>
        <w:rPr>
          <w:rFonts w:hint="eastAsia" w:ascii="黑体" w:hAnsi="黑体" w:eastAsia="黑体" w:cs="仿宋_GB2312"/>
          <w:sz w:val="32"/>
          <w:szCs w:val="32"/>
        </w:rPr>
        <w:t>供货方（以下简称：乙方）：</w:t>
      </w:r>
    </w:p>
    <w:p w14:paraId="317C3F9F">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经营地址：</w:t>
      </w:r>
    </w:p>
    <w:p w14:paraId="06A171E2">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p w14:paraId="7A9AAAA3">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14:paraId="1A91309E">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14:paraId="4F02EB8C">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E134502">
      <w:pPr>
        <w:pStyle w:val="15"/>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经供需双方友好协商，根据《中华人民共和国民法典》及甲方所在地的相关法律法规，达成如下协议：</w:t>
      </w:r>
    </w:p>
    <w:p w14:paraId="044B2DD4">
      <w:pPr>
        <w:pStyle w:val="15"/>
        <w:adjustRightInd w:val="0"/>
        <w:snapToGrid w:val="0"/>
        <w:spacing w:line="560" w:lineRule="exact"/>
        <w:ind w:firstLine="640"/>
        <w:rPr>
          <w:rFonts w:hint="eastAsia" w:ascii="仿宋_GB2312" w:hAnsi="仿宋_GB2312" w:eastAsia="黑体" w:cs="仿宋_GB2312"/>
          <w:sz w:val="32"/>
          <w:szCs w:val="32"/>
        </w:rPr>
      </w:pPr>
      <w:r>
        <w:rPr>
          <w:rFonts w:hint="eastAsia" w:ascii="黑体" w:hAnsi="黑体" w:eastAsia="黑体" w:cs="黑体"/>
          <w:sz w:val="32"/>
          <w:szCs w:val="32"/>
        </w:rPr>
        <w:t>第一条 标的、数量</w:t>
      </w:r>
    </w:p>
    <w:p w14:paraId="5329D829">
      <w:pPr>
        <w:pStyle w:val="15"/>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乙方向甲方供应的货物名称、品牌名称、规格型号、单位、数量、单价、总金额等见下表：</w:t>
      </w:r>
    </w:p>
    <w:tbl>
      <w:tblPr>
        <w:tblStyle w:val="10"/>
        <w:tblW w:w="10659"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825"/>
        <w:gridCol w:w="1916"/>
        <w:gridCol w:w="709"/>
        <w:gridCol w:w="708"/>
        <w:gridCol w:w="1276"/>
        <w:gridCol w:w="851"/>
        <w:gridCol w:w="1134"/>
        <w:gridCol w:w="1275"/>
        <w:gridCol w:w="709"/>
      </w:tblGrid>
      <w:tr w14:paraId="5450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6" w:type="dxa"/>
            <w:tcBorders>
              <w:top w:val="single" w:color="auto" w:sz="4" w:space="0"/>
              <w:left w:val="single" w:color="auto" w:sz="4" w:space="0"/>
              <w:bottom w:val="single" w:color="auto" w:sz="4" w:space="0"/>
              <w:right w:val="single" w:color="auto" w:sz="4" w:space="0"/>
            </w:tcBorders>
            <w:vAlign w:val="center"/>
          </w:tcPr>
          <w:p w14:paraId="075674F0">
            <w:pPr>
              <w:adjustRightInd w:val="0"/>
              <w:snapToGrid w:val="0"/>
              <w:spacing w:line="288"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货物名称</w:t>
            </w:r>
          </w:p>
        </w:tc>
        <w:tc>
          <w:tcPr>
            <w:tcW w:w="825" w:type="dxa"/>
            <w:tcBorders>
              <w:top w:val="single" w:color="auto" w:sz="4" w:space="0"/>
              <w:left w:val="single" w:color="auto" w:sz="4" w:space="0"/>
              <w:bottom w:val="single" w:color="auto" w:sz="4" w:space="0"/>
              <w:right w:val="single" w:color="auto" w:sz="4" w:space="0"/>
            </w:tcBorders>
            <w:vAlign w:val="center"/>
          </w:tcPr>
          <w:p w14:paraId="1AD0DF13">
            <w:pPr>
              <w:adjustRightInd w:val="0"/>
              <w:snapToGrid w:val="0"/>
              <w:spacing w:line="288"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品牌名称</w:t>
            </w:r>
          </w:p>
        </w:tc>
        <w:tc>
          <w:tcPr>
            <w:tcW w:w="1916" w:type="dxa"/>
            <w:tcBorders>
              <w:top w:val="single" w:color="auto" w:sz="4" w:space="0"/>
              <w:left w:val="single" w:color="auto" w:sz="4" w:space="0"/>
              <w:bottom w:val="single" w:color="auto" w:sz="4" w:space="0"/>
              <w:right w:val="single" w:color="auto" w:sz="4" w:space="0"/>
            </w:tcBorders>
            <w:vAlign w:val="center"/>
          </w:tcPr>
          <w:p w14:paraId="5A0AA51B">
            <w:pPr>
              <w:adjustRightInd w:val="0"/>
              <w:snapToGrid w:val="0"/>
              <w:spacing w:line="288"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规格型号</w:t>
            </w:r>
          </w:p>
        </w:tc>
        <w:tc>
          <w:tcPr>
            <w:tcW w:w="709" w:type="dxa"/>
            <w:tcBorders>
              <w:top w:val="single" w:color="auto" w:sz="4" w:space="0"/>
              <w:left w:val="single" w:color="auto" w:sz="4" w:space="0"/>
              <w:bottom w:val="single" w:color="auto" w:sz="4" w:space="0"/>
              <w:right w:val="single" w:color="auto" w:sz="4" w:space="0"/>
            </w:tcBorders>
            <w:vAlign w:val="center"/>
          </w:tcPr>
          <w:p w14:paraId="656CE867">
            <w:pPr>
              <w:adjustRightInd w:val="0"/>
              <w:snapToGrid w:val="0"/>
              <w:spacing w:line="288"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单位</w:t>
            </w:r>
          </w:p>
        </w:tc>
        <w:tc>
          <w:tcPr>
            <w:tcW w:w="708" w:type="dxa"/>
            <w:tcBorders>
              <w:top w:val="single" w:color="auto" w:sz="4" w:space="0"/>
              <w:left w:val="single" w:color="auto" w:sz="4" w:space="0"/>
              <w:bottom w:val="single" w:color="auto" w:sz="4" w:space="0"/>
              <w:right w:val="single" w:color="auto" w:sz="4" w:space="0"/>
            </w:tcBorders>
            <w:vAlign w:val="center"/>
          </w:tcPr>
          <w:p w14:paraId="1E1CB154">
            <w:pPr>
              <w:adjustRightInd w:val="0"/>
              <w:snapToGrid w:val="0"/>
              <w:spacing w:line="288"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4DCBAB4C">
            <w:pPr>
              <w:adjustRightInd w:val="0"/>
              <w:snapToGrid w:val="0"/>
              <w:spacing w:line="32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不含税单价</w:t>
            </w:r>
          </w:p>
          <w:p w14:paraId="19775CE7">
            <w:pPr>
              <w:adjustRightInd w:val="0"/>
              <w:snapToGrid w:val="0"/>
              <w:spacing w:line="32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（元）</w:t>
            </w:r>
          </w:p>
        </w:tc>
        <w:tc>
          <w:tcPr>
            <w:tcW w:w="851" w:type="dxa"/>
            <w:tcBorders>
              <w:top w:val="single" w:color="auto" w:sz="4" w:space="0"/>
              <w:left w:val="single" w:color="auto" w:sz="4" w:space="0"/>
              <w:bottom w:val="single" w:color="auto" w:sz="4" w:space="0"/>
              <w:right w:val="single" w:color="auto" w:sz="4" w:space="0"/>
            </w:tcBorders>
            <w:vAlign w:val="center"/>
          </w:tcPr>
          <w:p w14:paraId="1333B8AD">
            <w:pPr>
              <w:adjustRightInd w:val="0"/>
              <w:snapToGrid w:val="0"/>
              <w:spacing w:line="32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税率</w:t>
            </w:r>
          </w:p>
        </w:tc>
        <w:tc>
          <w:tcPr>
            <w:tcW w:w="1134" w:type="dxa"/>
            <w:tcBorders>
              <w:top w:val="single" w:color="auto" w:sz="4" w:space="0"/>
              <w:left w:val="single" w:color="auto" w:sz="4" w:space="0"/>
              <w:bottom w:val="single" w:color="auto" w:sz="4" w:space="0"/>
              <w:right w:val="single" w:color="auto" w:sz="4" w:space="0"/>
            </w:tcBorders>
            <w:vAlign w:val="center"/>
          </w:tcPr>
          <w:p w14:paraId="42408583">
            <w:pPr>
              <w:adjustRightInd w:val="0"/>
              <w:snapToGrid w:val="0"/>
              <w:spacing w:line="32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含税单价（元）</w:t>
            </w:r>
          </w:p>
        </w:tc>
        <w:tc>
          <w:tcPr>
            <w:tcW w:w="1275" w:type="dxa"/>
            <w:tcBorders>
              <w:top w:val="single" w:color="auto" w:sz="4" w:space="0"/>
              <w:left w:val="single" w:color="auto" w:sz="4" w:space="0"/>
              <w:bottom w:val="single" w:color="auto" w:sz="4" w:space="0"/>
              <w:right w:val="single" w:color="auto" w:sz="4" w:space="0"/>
            </w:tcBorders>
            <w:vAlign w:val="center"/>
          </w:tcPr>
          <w:p w14:paraId="404EC310">
            <w:pPr>
              <w:adjustRightInd w:val="0"/>
              <w:snapToGrid w:val="0"/>
              <w:spacing w:line="32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含税总金额（元）</w:t>
            </w:r>
          </w:p>
        </w:tc>
        <w:tc>
          <w:tcPr>
            <w:tcW w:w="709" w:type="dxa"/>
            <w:tcBorders>
              <w:top w:val="single" w:color="auto" w:sz="4" w:space="0"/>
              <w:left w:val="single" w:color="auto" w:sz="4" w:space="0"/>
              <w:bottom w:val="single" w:color="auto" w:sz="4" w:space="0"/>
              <w:right w:val="single" w:color="auto" w:sz="4" w:space="0"/>
            </w:tcBorders>
            <w:vAlign w:val="center"/>
          </w:tcPr>
          <w:p w14:paraId="289E19CD">
            <w:pPr>
              <w:adjustRightInd w:val="0"/>
              <w:snapToGrid w:val="0"/>
              <w:spacing w:line="288"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备注</w:t>
            </w:r>
          </w:p>
        </w:tc>
      </w:tr>
      <w:tr w14:paraId="5FF0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56" w:type="dxa"/>
            <w:tcBorders>
              <w:top w:val="single" w:color="auto" w:sz="4" w:space="0"/>
              <w:left w:val="single" w:color="auto" w:sz="4" w:space="0"/>
              <w:bottom w:val="single" w:color="auto" w:sz="4" w:space="0"/>
              <w:right w:val="single" w:color="auto" w:sz="4" w:space="0"/>
            </w:tcBorders>
            <w:vAlign w:val="center"/>
          </w:tcPr>
          <w:p w14:paraId="31D40067">
            <w:pPr>
              <w:adjustRightInd w:val="0"/>
              <w:snapToGrid w:val="0"/>
              <w:jc w:val="center"/>
              <w:rPr>
                <w:rFonts w:hint="eastAsia" w:ascii="微软雅黑" w:hAnsi="微软雅黑" w:eastAsia="微软雅黑" w:cs="微软雅黑"/>
                <w:sz w:val="18"/>
                <w:szCs w:val="18"/>
              </w:rPr>
            </w:pPr>
          </w:p>
        </w:tc>
        <w:tc>
          <w:tcPr>
            <w:tcW w:w="825" w:type="dxa"/>
            <w:tcBorders>
              <w:top w:val="single" w:color="auto" w:sz="4" w:space="0"/>
              <w:left w:val="single" w:color="auto" w:sz="4" w:space="0"/>
              <w:bottom w:val="single" w:color="auto" w:sz="4" w:space="0"/>
              <w:right w:val="single" w:color="auto" w:sz="4" w:space="0"/>
            </w:tcBorders>
            <w:vAlign w:val="center"/>
          </w:tcPr>
          <w:p w14:paraId="2D204D61">
            <w:pPr>
              <w:adjustRightInd w:val="0"/>
              <w:snapToGrid w:val="0"/>
              <w:jc w:val="center"/>
              <w:rPr>
                <w:rFonts w:hint="eastAsia" w:ascii="微软雅黑" w:hAnsi="微软雅黑" w:eastAsia="微软雅黑" w:cs="微软雅黑"/>
                <w:sz w:val="18"/>
                <w:szCs w:val="18"/>
              </w:rPr>
            </w:pPr>
          </w:p>
        </w:tc>
        <w:tc>
          <w:tcPr>
            <w:tcW w:w="1916" w:type="dxa"/>
            <w:tcBorders>
              <w:top w:val="single" w:color="auto" w:sz="4" w:space="0"/>
              <w:left w:val="single" w:color="auto" w:sz="4" w:space="0"/>
              <w:bottom w:val="single" w:color="auto" w:sz="4" w:space="0"/>
              <w:right w:val="single" w:color="auto" w:sz="4" w:space="0"/>
            </w:tcBorders>
            <w:vAlign w:val="center"/>
          </w:tcPr>
          <w:p w14:paraId="4B455389">
            <w:pPr>
              <w:adjustRightInd w:val="0"/>
              <w:snapToGrid w:val="0"/>
              <w:jc w:val="center"/>
              <w:rPr>
                <w:rFonts w:hint="eastAsia" w:ascii="微软雅黑" w:hAnsi="微软雅黑" w:eastAsia="微软雅黑" w:cs="微软雅黑"/>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3DA28BAE">
            <w:pPr>
              <w:adjustRightInd w:val="0"/>
              <w:snapToGrid w:val="0"/>
              <w:jc w:val="center"/>
              <w:rPr>
                <w:rFonts w:hint="eastAsia" w:ascii="微软雅黑" w:hAnsi="微软雅黑" w:eastAsia="微软雅黑" w:cs="微软雅黑"/>
                <w:sz w:val="18"/>
                <w:szCs w:val="18"/>
                <w:lang w:eastAsia="zh-CN"/>
              </w:rPr>
            </w:pPr>
          </w:p>
        </w:tc>
        <w:tc>
          <w:tcPr>
            <w:tcW w:w="708" w:type="dxa"/>
            <w:tcBorders>
              <w:top w:val="single" w:color="auto" w:sz="4" w:space="0"/>
              <w:left w:val="single" w:color="auto" w:sz="4" w:space="0"/>
              <w:bottom w:val="single" w:color="auto" w:sz="4" w:space="0"/>
              <w:right w:val="single" w:color="auto" w:sz="4" w:space="0"/>
            </w:tcBorders>
            <w:vAlign w:val="center"/>
          </w:tcPr>
          <w:p w14:paraId="1FD5750B">
            <w:pPr>
              <w:adjustRightInd w:val="0"/>
              <w:snapToGrid w:val="0"/>
              <w:jc w:val="center"/>
              <w:rPr>
                <w:rFonts w:hint="default" w:ascii="微软雅黑" w:hAnsi="微软雅黑" w:eastAsia="微软雅黑" w:cs="微软雅黑"/>
                <w:sz w:val="18"/>
                <w:szCs w:val="18"/>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14:paraId="5AF7F0E0">
            <w:pPr>
              <w:adjustRightInd w:val="0"/>
              <w:snapToGrid w:val="0"/>
              <w:jc w:val="center"/>
              <w:rPr>
                <w:rFonts w:hint="default" w:ascii="微软雅黑" w:hAnsi="微软雅黑" w:eastAsia="微软雅黑" w:cs="微软雅黑"/>
                <w:sz w:val="18"/>
                <w:szCs w:val="18"/>
                <w:lang w:val="en-US" w:eastAsia="zh-CN"/>
              </w:rPr>
            </w:pPr>
          </w:p>
        </w:tc>
        <w:tc>
          <w:tcPr>
            <w:tcW w:w="851" w:type="dxa"/>
            <w:tcBorders>
              <w:top w:val="single" w:color="auto" w:sz="4" w:space="0"/>
              <w:left w:val="single" w:color="auto" w:sz="4" w:space="0"/>
              <w:bottom w:val="single" w:color="auto" w:sz="4" w:space="0"/>
              <w:right w:val="single" w:color="auto" w:sz="4" w:space="0"/>
            </w:tcBorders>
            <w:vAlign w:val="center"/>
          </w:tcPr>
          <w:p w14:paraId="74E09EF5">
            <w:pPr>
              <w:adjustRightInd w:val="0"/>
              <w:snapToGrid w:val="0"/>
              <w:jc w:val="center"/>
              <w:rPr>
                <w:rFonts w:hint="eastAsia" w:ascii="微软雅黑" w:hAnsi="微软雅黑" w:eastAsia="微软雅黑" w:cs="微软雅黑"/>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683F182F">
            <w:pPr>
              <w:adjustRightInd w:val="0"/>
              <w:snapToGrid w:val="0"/>
              <w:jc w:val="center"/>
              <w:rPr>
                <w:rFonts w:hint="default" w:ascii="微软雅黑" w:hAnsi="微软雅黑" w:eastAsia="微软雅黑" w:cs="微软雅黑"/>
                <w:sz w:val="18"/>
                <w:szCs w:val="18"/>
                <w:lang w:val="en-US" w:eastAsia="zh-CN"/>
              </w:rPr>
            </w:pPr>
          </w:p>
        </w:tc>
        <w:tc>
          <w:tcPr>
            <w:tcW w:w="1275" w:type="dxa"/>
            <w:tcBorders>
              <w:top w:val="single" w:color="auto" w:sz="4" w:space="0"/>
              <w:left w:val="single" w:color="auto" w:sz="4" w:space="0"/>
              <w:bottom w:val="single" w:color="auto" w:sz="4" w:space="0"/>
              <w:right w:val="single" w:color="auto" w:sz="4" w:space="0"/>
            </w:tcBorders>
            <w:vAlign w:val="center"/>
          </w:tcPr>
          <w:p w14:paraId="578FB497">
            <w:pPr>
              <w:adjustRightInd w:val="0"/>
              <w:snapToGrid w:val="0"/>
              <w:jc w:val="center"/>
              <w:rPr>
                <w:rFonts w:hint="default" w:ascii="微软雅黑" w:hAnsi="微软雅黑" w:eastAsia="微软雅黑" w:cs="微软雅黑"/>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14:paraId="3F0FE5D0">
            <w:pPr>
              <w:adjustRightInd w:val="0"/>
              <w:snapToGrid w:val="0"/>
              <w:spacing w:line="288" w:lineRule="auto"/>
              <w:jc w:val="center"/>
              <w:rPr>
                <w:rFonts w:hint="eastAsia" w:ascii="微软雅黑" w:hAnsi="微软雅黑" w:eastAsia="微软雅黑" w:cs="微软雅黑"/>
                <w:sz w:val="18"/>
                <w:szCs w:val="18"/>
              </w:rPr>
            </w:pPr>
          </w:p>
        </w:tc>
      </w:tr>
      <w:tr w14:paraId="69AE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56" w:type="dxa"/>
            <w:tcBorders>
              <w:top w:val="single" w:color="auto" w:sz="4" w:space="0"/>
              <w:left w:val="single" w:color="auto" w:sz="4" w:space="0"/>
              <w:bottom w:val="single" w:color="auto" w:sz="4" w:space="0"/>
              <w:right w:val="single" w:color="auto" w:sz="4" w:space="0"/>
            </w:tcBorders>
            <w:vAlign w:val="center"/>
          </w:tcPr>
          <w:p w14:paraId="1DA31C3F">
            <w:pPr>
              <w:adjustRightInd w:val="0"/>
              <w:snapToGrid w:val="0"/>
              <w:jc w:val="center"/>
              <w:rPr>
                <w:rFonts w:hint="eastAsia" w:ascii="微软雅黑" w:hAnsi="微软雅黑" w:eastAsia="微软雅黑" w:cs="微软雅黑"/>
                <w:spacing w:val="-4"/>
                <w:sz w:val="18"/>
                <w:szCs w:val="18"/>
              </w:rPr>
            </w:pPr>
          </w:p>
        </w:tc>
        <w:tc>
          <w:tcPr>
            <w:tcW w:w="825" w:type="dxa"/>
            <w:tcBorders>
              <w:top w:val="single" w:color="auto" w:sz="4" w:space="0"/>
              <w:left w:val="single" w:color="auto" w:sz="4" w:space="0"/>
              <w:bottom w:val="single" w:color="auto" w:sz="4" w:space="0"/>
              <w:right w:val="single" w:color="auto" w:sz="4" w:space="0"/>
            </w:tcBorders>
            <w:vAlign w:val="center"/>
          </w:tcPr>
          <w:p w14:paraId="157F6858">
            <w:pPr>
              <w:adjustRightInd w:val="0"/>
              <w:snapToGrid w:val="0"/>
              <w:jc w:val="center"/>
              <w:rPr>
                <w:rFonts w:hint="eastAsia" w:ascii="微软雅黑" w:hAnsi="微软雅黑" w:eastAsia="微软雅黑" w:cs="微软雅黑"/>
                <w:spacing w:val="-4"/>
                <w:sz w:val="18"/>
                <w:szCs w:val="18"/>
              </w:rPr>
            </w:pPr>
          </w:p>
        </w:tc>
        <w:tc>
          <w:tcPr>
            <w:tcW w:w="1916" w:type="dxa"/>
            <w:tcBorders>
              <w:top w:val="single" w:color="auto" w:sz="4" w:space="0"/>
              <w:left w:val="single" w:color="auto" w:sz="4" w:space="0"/>
              <w:bottom w:val="single" w:color="auto" w:sz="4" w:space="0"/>
              <w:right w:val="single" w:color="auto" w:sz="4" w:space="0"/>
            </w:tcBorders>
            <w:vAlign w:val="center"/>
          </w:tcPr>
          <w:p w14:paraId="53D2A812">
            <w:pPr>
              <w:adjustRightInd w:val="0"/>
              <w:snapToGrid w:val="0"/>
              <w:jc w:val="center"/>
              <w:rPr>
                <w:rFonts w:hint="eastAsia" w:ascii="微软雅黑" w:hAnsi="微软雅黑" w:eastAsia="微软雅黑" w:cs="微软雅黑"/>
                <w:spacing w:val="-4"/>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5386ABE8">
            <w:pPr>
              <w:adjustRightInd w:val="0"/>
              <w:snapToGrid w:val="0"/>
              <w:jc w:val="center"/>
              <w:rPr>
                <w:rFonts w:hint="eastAsia" w:ascii="微软雅黑" w:hAnsi="微软雅黑" w:eastAsia="微软雅黑" w:cs="微软雅黑"/>
                <w:sz w:val="18"/>
                <w:szCs w:val="18"/>
                <w:lang w:eastAsia="zh-CN"/>
              </w:rPr>
            </w:pPr>
          </w:p>
        </w:tc>
        <w:tc>
          <w:tcPr>
            <w:tcW w:w="708" w:type="dxa"/>
            <w:tcBorders>
              <w:top w:val="single" w:color="auto" w:sz="4" w:space="0"/>
              <w:left w:val="single" w:color="auto" w:sz="4" w:space="0"/>
              <w:bottom w:val="single" w:color="auto" w:sz="4" w:space="0"/>
              <w:right w:val="single" w:color="auto" w:sz="4" w:space="0"/>
            </w:tcBorders>
            <w:vAlign w:val="center"/>
          </w:tcPr>
          <w:p w14:paraId="707DB64D">
            <w:pPr>
              <w:adjustRightInd w:val="0"/>
              <w:snapToGrid w:val="0"/>
              <w:jc w:val="center"/>
              <w:rPr>
                <w:rFonts w:hint="default" w:ascii="微软雅黑" w:hAnsi="微软雅黑" w:eastAsia="微软雅黑" w:cs="微软雅黑"/>
                <w:sz w:val="18"/>
                <w:szCs w:val="18"/>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14:paraId="21C78BB4">
            <w:pPr>
              <w:adjustRightInd w:val="0"/>
              <w:snapToGrid w:val="0"/>
              <w:jc w:val="center"/>
              <w:rPr>
                <w:rFonts w:hint="default" w:ascii="微软雅黑" w:hAnsi="微软雅黑" w:eastAsia="微软雅黑" w:cs="微软雅黑"/>
                <w:sz w:val="18"/>
                <w:szCs w:val="18"/>
                <w:lang w:val="en-US" w:eastAsia="zh-CN"/>
              </w:rPr>
            </w:pPr>
          </w:p>
        </w:tc>
        <w:tc>
          <w:tcPr>
            <w:tcW w:w="851" w:type="dxa"/>
            <w:tcBorders>
              <w:top w:val="single" w:color="auto" w:sz="4" w:space="0"/>
              <w:left w:val="single" w:color="auto" w:sz="4" w:space="0"/>
              <w:bottom w:val="single" w:color="auto" w:sz="4" w:space="0"/>
              <w:right w:val="single" w:color="auto" w:sz="4" w:space="0"/>
            </w:tcBorders>
            <w:vAlign w:val="center"/>
          </w:tcPr>
          <w:p w14:paraId="7F47493C">
            <w:pPr>
              <w:adjustRightInd w:val="0"/>
              <w:snapToGrid w:val="0"/>
              <w:jc w:val="center"/>
              <w:rPr>
                <w:rFonts w:hint="eastAsia" w:ascii="微软雅黑" w:hAnsi="微软雅黑" w:eastAsia="微软雅黑" w:cs="微软雅黑"/>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6CD1829F">
            <w:pPr>
              <w:adjustRightInd w:val="0"/>
              <w:snapToGrid w:val="0"/>
              <w:jc w:val="center"/>
              <w:rPr>
                <w:rFonts w:hint="default" w:ascii="微软雅黑" w:hAnsi="微软雅黑" w:eastAsia="微软雅黑" w:cs="微软雅黑"/>
                <w:sz w:val="18"/>
                <w:szCs w:val="18"/>
                <w:lang w:val="en-US" w:eastAsia="zh-CN"/>
              </w:rPr>
            </w:pPr>
          </w:p>
        </w:tc>
        <w:tc>
          <w:tcPr>
            <w:tcW w:w="1275" w:type="dxa"/>
            <w:tcBorders>
              <w:top w:val="single" w:color="auto" w:sz="4" w:space="0"/>
              <w:left w:val="single" w:color="auto" w:sz="4" w:space="0"/>
              <w:bottom w:val="single" w:color="auto" w:sz="4" w:space="0"/>
              <w:right w:val="single" w:color="auto" w:sz="4" w:space="0"/>
            </w:tcBorders>
            <w:vAlign w:val="center"/>
          </w:tcPr>
          <w:p w14:paraId="3C8D0978">
            <w:pPr>
              <w:adjustRightInd w:val="0"/>
              <w:snapToGrid w:val="0"/>
              <w:jc w:val="center"/>
              <w:rPr>
                <w:rFonts w:hint="default" w:ascii="微软雅黑" w:hAnsi="微软雅黑" w:eastAsia="微软雅黑" w:cs="微软雅黑"/>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14:paraId="09B1163E">
            <w:pPr>
              <w:adjustRightInd w:val="0"/>
              <w:snapToGrid w:val="0"/>
              <w:spacing w:line="288" w:lineRule="auto"/>
              <w:jc w:val="center"/>
              <w:rPr>
                <w:rFonts w:hint="eastAsia" w:ascii="微软雅黑" w:hAnsi="微软雅黑" w:eastAsia="微软雅黑" w:cs="微软雅黑"/>
                <w:sz w:val="18"/>
                <w:szCs w:val="18"/>
              </w:rPr>
            </w:pPr>
          </w:p>
        </w:tc>
      </w:tr>
      <w:tr w14:paraId="1438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675" w:type="dxa"/>
            <w:gridSpan w:val="8"/>
            <w:tcBorders>
              <w:top w:val="single" w:color="auto" w:sz="4" w:space="0"/>
              <w:left w:val="single" w:color="auto" w:sz="4" w:space="0"/>
              <w:bottom w:val="single" w:color="auto" w:sz="4" w:space="0"/>
              <w:right w:val="single" w:color="auto" w:sz="4" w:space="0"/>
            </w:tcBorders>
            <w:vAlign w:val="center"/>
          </w:tcPr>
          <w:p w14:paraId="663A6A40">
            <w:pPr>
              <w:adjustRightInd w:val="0"/>
              <w:snapToGrid w:val="0"/>
              <w:jc w:val="center"/>
              <w:rPr>
                <w:rFonts w:hint="eastAsia" w:ascii="微软雅黑" w:hAnsi="微软雅黑" w:eastAsia="微软雅黑" w:cs="微软雅黑"/>
                <w:sz w:val="18"/>
                <w:szCs w:val="18"/>
              </w:rPr>
            </w:pPr>
            <w:r>
              <w:rPr>
                <w:rFonts w:hint="eastAsia" w:ascii="微软雅黑" w:hAnsi="微软雅黑" w:eastAsia="微软雅黑" w:cs="微软雅黑"/>
                <w:szCs w:val="21"/>
              </w:rPr>
              <w:t>合计</w:t>
            </w:r>
          </w:p>
        </w:tc>
        <w:tc>
          <w:tcPr>
            <w:tcW w:w="1275" w:type="dxa"/>
            <w:tcBorders>
              <w:top w:val="single" w:color="auto" w:sz="4" w:space="0"/>
              <w:left w:val="single" w:color="auto" w:sz="4" w:space="0"/>
              <w:bottom w:val="single" w:color="auto" w:sz="4" w:space="0"/>
              <w:right w:val="single" w:color="auto" w:sz="4" w:space="0"/>
            </w:tcBorders>
            <w:vAlign w:val="center"/>
          </w:tcPr>
          <w:p w14:paraId="6A0B0705">
            <w:pPr>
              <w:adjustRightInd w:val="0"/>
              <w:snapToGrid w:val="0"/>
              <w:jc w:val="center"/>
              <w:rPr>
                <w:rFonts w:hint="default" w:ascii="微软雅黑" w:hAnsi="微软雅黑" w:eastAsia="微软雅黑" w:cs="微软雅黑"/>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14:paraId="441928A0">
            <w:pPr>
              <w:adjustRightInd w:val="0"/>
              <w:snapToGrid w:val="0"/>
              <w:spacing w:line="288" w:lineRule="auto"/>
              <w:jc w:val="center"/>
              <w:rPr>
                <w:rFonts w:hint="eastAsia" w:ascii="微软雅黑" w:hAnsi="微软雅黑" w:eastAsia="微软雅黑" w:cs="微软雅黑"/>
                <w:sz w:val="18"/>
                <w:szCs w:val="18"/>
              </w:rPr>
            </w:pPr>
          </w:p>
        </w:tc>
      </w:tr>
      <w:tr w14:paraId="5EE7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56" w:type="dxa"/>
            <w:tcBorders>
              <w:top w:val="single" w:color="auto" w:sz="4" w:space="0"/>
              <w:left w:val="single" w:color="auto" w:sz="4" w:space="0"/>
              <w:bottom w:val="single" w:color="auto" w:sz="4" w:space="0"/>
              <w:right w:val="single" w:color="auto" w:sz="4" w:space="0"/>
            </w:tcBorders>
            <w:vAlign w:val="center"/>
          </w:tcPr>
          <w:p w14:paraId="538E48FC">
            <w:pPr>
              <w:adjustRightInd w:val="0"/>
              <w:snapToGrid w:val="0"/>
              <w:spacing w:line="288"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合计（大写）：</w:t>
            </w:r>
          </w:p>
        </w:tc>
        <w:tc>
          <w:tcPr>
            <w:tcW w:w="9403" w:type="dxa"/>
            <w:gridSpan w:val="9"/>
            <w:tcBorders>
              <w:top w:val="single" w:color="auto" w:sz="4" w:space="0"/>
              <w:left w:val="single" w:color="auto" w:sz="4" w:space="0"/>
              <w:bottom w:val="single" w:color="auto" w:sz="4" w:space="0"/>
              <w:right w:val="single" w:color="auto" w:sz="4" w:space="0"/>
            </w:tcBorders>
            <w:vAlign w:val="center"/>
          </w:tcPr>
          <w:p w14:paraId="1492CDA2">
            <w:pPr>
              <w:adjustRightInd w:val="0"/>
              <w:snapToGrid w:val="0"/>
              <w:spacing w:line="288"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人民币</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元整 （含税、含运费金额）</w:t>
            </w:r>
          </w:p>
        </w:tc>
      </w:tr>
    </w:tbl>
    <w:p w14:paraId="6EEA1E93">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第二条 合同金额及结算方式</w:t>
      </w:r>
    </w:p>
    <w:p w14:paraId="26A3E4D7">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1.合同暂定总价为（大写）人民币[</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0000</w:t>
      </w:r>
      <w:r>
        <w:rPr>
          <w:rFonts w:hint="eastAsia" w:ascii="仿宋_GB2312" w:hAnsi="仿宋_GB2312" w:eastAsia="仿宋_GB2312" w:cs="仿宋_GB2312"/>
          <w:sz w:val="32"/>
          <w:szCs w:val="32"/>
        </w:rPr>
        <w:t>.00），不含税金额（大写）人民币[</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0000.00</w:t>
      </w:r>
      <w:r>
        <w:rPr>
          <w:rFonts w:hint="eastAsia" w:ascii="仿宋_GB2312" w:hAnsi="仿宋_GB2312" w:eastAsia="仿宋_GB2312" w:cs="仿宋_GB2312"/>
          <w:sz w:val="32"/>
          <w:szCs w:val="32"/>
        </w:rPr>
        <w:t>），税率（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）%。该费用为综合含税费用，包括人工费、差旅费、交通费、运输费等因本次服务产生的所有费用，除本</w:t>
      </w:r>
      <w:r>
        <w:rPr>
          <w:rFonts w:hint="eastAsia" w:ascii="仿宋_GB2312" w:hAnsi="仿宋_GB2312" w:eastAsia="仿宋_GB2312" w:cs="仿宋_GB2312"/>
          <w:sz w:val="32"/>
          <w:szCs w:val="32"/>
          <w:highlight w:val="none"/>
        </w:rPr>
        <w:t>合同约定费用外，甲方无需再向</w:t>
      </w:r>
      <w:bookmarkStart w:id="0" w:name="OLE_LINK15"/>
      <w:r>
        <w:rPr>
          <w:rFonts w:hint="eastAsia" w:ascii="仿宋_GB2312" w:hAnsi="仿宋_GB2312" w:eastAsia="仿宋_GB2312" w:cs="仿宋_GB2312"/>
          <w:sz w:val="32"/>
          <w:szCs w:val="32"/>
          <w:highlight w:val="none"/>
        </w:rPr>
        <w:t>乙方</w:t>
      </w:r>
      <w:bookmarkEnd w:id="0"/>
      <w:r>
        <w:rPr>
          <w:rFonts w:hint="eastAsia" w:ascii="仿宋_GB2312" w:hAnsi="仿宋_GB2312" w:eastAsia="仿宋_GB2312" w:cs="仿宋_GB2312"/>
          <w:sz w:val="32"/>
          <w:szCs w:val="32"/>
          <w:highlight w:val="none"/>
        </w:rPr>
        <w:t>支付任何费用。</w:t>
      </w:r>
    </w:p>
    <w:p w14:paraId="788ED442">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2.结算方式选择第[ </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 xml:space="preserve"> ]种。</w:t>
      </w:r>
    </w:p>
    <w:p w14:paraId="1A71E51C">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（1）乙方向甲方提供合法有效的足额增值税专用发票次日起[ 7 ]个工作日内，甲方向乙方支付合同金额[ </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 xml:space="preserve"> ]%作为预付款。货到验收合格后，乙方向甲方提供合法有效的足额增值税专用发票次日起[ 15 ]个工作日内，甲方支付剩余货款，货款结算金额以双方签字确认的</w:t>
      </w:r>
      <w:r>
        <w:rPr>
          <w:rFonts w:hint="eastAsia" w:ascii="仿宋_GB2312" w:hAnsi="仿宋_GB2312" w:eastAsia="仿宋_GB2312" w:cs="仿宋_GB2312"/>
          <w:color w:val="000000"/>
          <w:kern w:val="0"/>
          <w:sz w:val="32"/>
          <w:szCs w:val="32"/>
          <w:highlight w:val="none"/>
          <w:lang w:bidi="ar"/>
        </w:rPr>
        <w:t>送货单，为最终结算依据</w:t>
      </w:r>
      <w:r>
        <w:rPr>
          <w:rFonts w:hint="eastAsia" w:ascii="仿宋_GB2312" w:hAnsi="仿宋_GB2312" w:eastAsia="仿宋_GB2312" w:cs="仿宋_GB2312"/>
          <w:sz w:val="32"/>
          <w:szCs w:val="32"/>
          <w:highlight w:val="none"/>
        </w:rPr>
        <w:t>。</w:t>
      </w:r>
    </w:p>
    <w:p w14:paraId="1E6F23D6">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（2）货到验收合格后，乙方向甲方提供合法有效的足额增值税专用发票次日起[ 7 ]个工作日内，甲方一次性支付货款，</w:t>
      </w:r>
      <w:bookmarkStart w:id="7" w:name="_GoBack"/>
      <w:bookmarkEnd w:id="7"/>
      <w:r>
        <w:rPr>
          <w:rFonts w:hint="eastAsia" w:ascii="仿宋_GB2312" w:hAnsi="仿宋_GB2312" w:eastAsia="仿宋_GB2312" w:cs="仿宋_GB2312"/>
          <w:sz w:val="32"/>
          <w:szCs w:val="32"/>
          <w:highlight w:val="none"/>
        </w:rPr>
        <w:t>货款结算金额以双方签字确认的</w:t>
      </w:r>
      <w:r>
        <w:rPr>
          <w:rFonts w:hint="eastAsia" w:ascii="仿宋_GB2312" w:hAnsi="仿宋_GB2312" w:eastAsia="仿宋_GB2312" w:cs="仿宋_GB2312"/>
          <w:color w:val="000000"/>
          <w:kern w:val="0"/>
          <w:sz w:val="32"/>
          <w:szCs w:val="32"/>
          <w:highlight w:val="none"/>
          <w:lang w:bidi="ar"/>
        </w:rPr>
        <w:t>送货单，为最终结算依据</w:t>
      </w:r>
      <w:r>
        <w:rPr>
          <w:rFonts w:hint="eastAsia" w:ascii="仿宋_GB2312" w:hAnsi="仿宋_GB2312" w:eastAsia="仿宋_GB2312" w:cs="仿宋_GB2312"/>
          <w:sz w:val="32"/>
          <w:szCs w:val="32"/>
          <w:highlight w:val="none"/>
        </w:rPr>
        <w:t>。</w:t>
      </w:r>
    </w:p>
    <w:p w14:paraId="28BE9938">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3.收款账户</w:t>
      </w:r>
      <w:r>
        <w:rPr>
          <w:rFonts w:hint="eastAsia" w:ascii="仿宋_GB2312" w:hAnsi="仿宋_GB2312" w:eastAsia="仿宋_GB2312" w:cs="仿宋_GB2312"/>
          <w:sz w:val="32"/>
          <w:szCs w:val="32"/>
          <w:lang w:val="en-US" w:eastAsia="zh-CN"/>
        </w:rPr>
        <w:t>及开票信息</w:t>
      </w:r>
    </w:p>
    <w:p w14:paraId="3FDA0E44">
      <w:pPr>
        <w:spacing w:line="560" w:lineRule="exact"/>
        <w:ind w:firstLine="640" w:firstLineChars="200"/>
        <w:rPr>
          <w:rFonts w:hint="default" w:ascii="仿宋_GB2312" w:hAnsi="仿宋_GB2312" w:eastAsia="仿宋_GB2312" w:cs="仿宋_GB2312"/>
          <w:sz w:val="32"/>
          <w:szCs w:val="32"/>
          <w:lang w:val="en-US" w:eastAsia="zh-CN"/>
        </w:rPr>
      </w:pPr>
      <w:bookmarkStart w:id="1" w:name="OLE_LINK16"/>
      <w:r>
        <w:rPr>
          <w:rFonts w:hint="eastAsia" w:ascii="仿宋_GB2312" w:hAnsi="仿宋_GB2312" w:eastAsia="仿宋_GB2312" w:cs="仿宋_GB2312"/>
          <w:sz w:val="32"/>
          <w:szCs w:val="32"/>
        </w:rPr>
        <w:t>收款方</w:t>
      </w:r>
      <w:bookmarkEnd w:id="1"/>
      <w:r>
        <w:rPr>
          <w:rFonts w:hint="eastAsia" w:ascii="仿宋_GB2312" w:hAnsi="仿宋_GB2312" w:eastAsia="仿宋_GB2312" w:cs="仿宋_GB2312"/>
          <w:sz w:val="32"/>
          <w:szCs w:val="32"/>
          <w:lang w:val="en-US" w:eastAsia="zh-CN"/>
        </w:rPr>
        <w:t>指定收款账户</w:t>
      </w:r>
    </w:p>
    <w:p w14:paraId="2B6219A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w:t>
      </w:r>
    </w:p>
    <w:p w14:paraId="6D7ED21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w:t>
      </w:r>
    </w:p>
    <w:p w14:paraId="354DAB1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户：</w:t>
      </w:r>
    </w:p>
    <w:p w14:paraId="7FA8A3B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w:t>
      </w:r>
    </w:p>
    <w:p w14:paraId="039E471B">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付款方</w:t>
      </w:r>
      <w:r>
        <w:rPr>
          <w:rFonts w:hint="eastAsia" w:ascii="仿宋_GB2312" w:hAnsi="仿宋_GB2312" w:eastAsia="仿宋_GB2312" w:cs="仿宋_GB2312"/>
          <w:sz w:val="32"/>
          <w:szCs w:val="32"/>
          <w:lang w:val="en-US" w:eastAsia="zh-CN"/>
        </w:rPr>
        <w:t>开票信息</w:t>
      </w:r>
    </w:p>
    <w:p w14:paraId="58199B69">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  称：</w:t>
      </w:r>
      <w:r>
        <w:rPr>
          <w:rFonts w:hint="eastAsia" w:ascii="仿宋_GB2312" w:hAnsi="仿宋_GB2312" w:eastAsia="仿宋_GB2312" w:cs="仿宋_GB2312"/>
          <w:sz w:val="32"/>
          <w:szCs w:val="32"/>
          <w:highlight w:val="none"/>
        </w:rPr>
        <w:t>海南省桂林洋公用事业发展有限公司</w:t>
      </w:r>
    </w:p>
    <w:p w14:paraId="13D600BF">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账  号：</w:t>
      </w:r>
      <w:r>
        <w:rPr>
          <w:rFonts w:hint="eastAsia" w:ascii="仿宋_GB2312" w:hAnsi="仿宋_GB2312" w:eastAsia="仿宋_GB2312" w:cs="仿宋_GB2312"/>
          <w:sz w:val="32"/>
          <w:szCs w:val="32"/>
          <w:highlight w:val="none"/>
        </w:rPr>
        <w:t>21293001040005112</w:t>
      </w:r>
    </w:p>
    <w:p w14:paraId="6A1A882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纳税人识别号：91460100MA5RF8R816</w:t>
      </w:r>
    </w:p>
    <w:p w14:paraId="16E767D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址：海口市桂林洋经济开发区兴洋大道94号</w:t>
      </w:r>
    </w:p>
    <w:p w14:paraId="42ED4D29">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  话：</w:t>
      </w:r>
    </w:p>
    <w:p w14:paraId="38ABAD7C">
      <w:pPr>
        <w:numPr>
          <w:ilvl w:val="255"/>
          <w:numId w:val="0"/>
        </w:num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4.每次付款前，</w:t>
      </w:r>
      <w:bookmarkStart w:id="2" w:name="OLE_LINK22"/>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乙方</w:t>
      </w:r>
      <w:r>
        <w:rPr>
          <w:rFonts w:hint="eastAsia" w:ascii="仿宋_GB2312" w:hAnsi="仿宋_GB2312" w:eastAsia="仿宋_GB2312" w:cs="仿宋_GB2312"/>
          <w:sz w:val="32"/>
          <w:szCs w:val="32"/>
          <w:highlight w:val="none"/>
        </w:rPr>
        <w:t>]</w:t>
      </w:r>
      <w:bookmarkEnd w:id="2"/>
      <w:r>
        <w:rPr>
          <w:rFonts w:hint="eastAsia" w:ascii="仿宋_GB2312" w:hAnsi="仿宋_GB2312" w:eastAsia="仿宋_GB2312" w:cs="仿宋_GB2312"/>
          <w:sz w:val="32"/>
          <w:szCs w:val="32"/>
          <w:highlight w:val="none"/>
        </w:rPr>
        <w:t>应提供合法有效的足额增值税专用发票，否则[</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]有权延期付款，并不承担任何责任，由此造成的损失由[</w:t>
      </w:r>
      <w:r>
        <w:rPr>
          <w:rFonts w:hint="eastAsia" w:ascii="仿宋_GB2312" w:hAnsi="仿宋_GB2312" w:eastAsia="仿宋_GB2312" w:cs="仿宋_GB2312"/>
          <w:sz w:val="32"/>
          <w:szCs w:val="32"/>
          <w:highlight w:val="none"/>
          <w:lang w:val="en-US" w:eastAsia="zh-CN"/>
        </w:rPr>
        <w:t>乙方</w:t>
      </w:r>
      <w:r>
        <w:rPr>
          <w:rFonts w:hint="eastAsia" w:ascii="仿宋_GB2312" w:hAnsi="仿宋_GB2312" w:eastAsia="仿宋_GB2312" w:cs="仿宋_GB2312"/>
          <w:sz w:val="32"/>
          <w:szCs w:val="32"/>
          <w:highlight w:val="none"/>
        </w:rPr>
        <w:t>]承担。如遇国家税率调整，则不含税价格不变，合同含税价及税率相应调整，[</w:t>
      </w:r>
      <w:r>
        <w:rPr>
          <w:rFonts w:hint="eastAsia" w:ascii="仿宋_GB2312" w:hAnsi="仿宋_GB2312" w:eastAsia="仿宋_GB2312" w:cs="仿宋_GB2312"/>
          <w:sz w:val="32"/>
          <w:szCs w:val="32"/>
          <w:highlight w:val="none"/>
          <w:lang w:val="en-US" w:eastAsia="zh-CN"/>
        </w:rPr>
        <w:t>乙方</w:t>
      </w:r>
      <w:r>
        <w:rPr>
          <w:rFonts w:hint="eastAsia" w:ascii="仿宋_GB2312" w:hAnsi="仿宋_GB2312" w:eastAsia="仿宋_GB2312" w:cs="仿宋_GB2312"/>
          <w:sz w:val="32"/>
          <w:szCs w:val="32"/>
          <w:highlight w:val="none"/>
        </w:rPr>
        <w:t>]应按纳税义务发生时的税率开具增值税发票，税率变化导致价税金额的变更应在进度及结算金额中进行调整。</w:t>
      </w:r>
    </w:p>
    <w:p w14:paraId="2D2B371A">
      <w:pPr>
        <w:adjustRightInd w:val="0"/>
        <w:snapToGrid w:val="0"/>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第三条 质量要求及技术标准</w:t>
      </w:r>
    </w:p>
    <w:p w14:paraId="62328982">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1.有强制性标准的，适用强制性标准；没有强制性标准的，适用推荐性、企业标准。需注意必须为现行有效的版本，不能用已经作废或被修改的版本。</w:t>
      </w:r>
    </w:p>
    <w:p w14:paraId="6DCD68FE">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质量要求及技术标准：符合国家或行业技术标准，没有国家或行业技术标准的，按照双方确认的符合合同目的特定标准执行。</w:t>
      </w:r>
    </w:p>
    <w:p w14:paraId="54A2ED98">
      <w:pPr>
        <w:widowControl/>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第四条 质量保证期</w:t>
      </w:r>
    </w:p>
    <w:p w14:paraId="0981CDB1">
      <w:pPr>
        <w:widowControl/>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自货物经双方验收合格，</w:t>
      </w:r>
      <w:r>
        <w:rPr>
          <w:rFonts w:hint="eastAsia" w:ascii="仿宋_GB2312" w:hAnsi="仿宋_GB2312" w:eastAsia="仿宋_GB2312" w:cs="仿宋_GB2312"/>
          <w:color w:val="000000"/>
          <w:kern w:val="0"/>
          <w:sz w:val="32"/>
          <w:szCs w:val="32"/>
          <w:highlight w:val="none"/>
          <w:lang w:bidi="ar"/>
        </w:rPr>
        <w:t>且</w:t>
      </w:r>
      <w:r>
        <w:rPr>
          <w:rFonts w:hint="eastAsia" w:ascii="仿宋_GB2312" w:hAnsi="仿宋_GB2312" w:eastAsia="仿宋_GB2312" w:cs="仿宋_GB2312"/>
          <w:sz w:val="32"/>
          <w:szCs w:val="32"/>
          <w:highlight w:val="none"/>
        </w:rPr>
        <w:t>异议期届满</w:t>
      </w:r>
      <w:r>
        <w:rPr>
          <w:rFonts w:hint="eastAsia" w:ascii="仿宋_GB2312" w:hAnsi="仿宋_GB2312" w:eastAsia="仿宋_GB2312" w:cs="仿宋_GB2312"/>
          <w:color w:val="000000"/>
          <w:kern w:val="0"/>
          <w:sz w:val="32"/>
          <w:szCs w:val="32"/>
          <w:highlight w:val="none"/>
          <w:lang w:bidi="ar"/>
        </w:rPr>
        <w:t>次日起</w:t>
      </w:r>
      <w:bookmarkStart w:id="3" w:name="OLE_LINK1"/>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 xml:space="preserve"> ]</w:t>
      </w:r>
      <w:bookmarkEnd w:id="3"/>
      <w:r>
        <w:rPr>
          <w:rFonts w:hint="eastAsia" w:ascii="仿宋_GB2312" w:hAnsi="仿宋_GB2312" w:eastAsia="仿宋_GB2312" w:cs="仿宋_GB2312"/>
          <w:sz w:val="32"/>
          <w:szCs w:val="32"/>
          <w:highlight w:val="none"/>
        </w:rPr>
        <w:t>个月；质量保证期内，若货物存在质量问题，乙方负责免费更换。</w:t>
      </w:r>
    </w:p>
    <w:p w14:paraId="53BCC13D">
      <w:pPr>
        <w:widowControl/>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第五条 货物交付</w:t>
      </w:r>
    </w:p>
    <w:p w14:paraId="0B4E1502">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1.交付时间：合同签订后[ </w:t>
      </w:r>
      <w:r>
        <w:rPr>
          <w:rFonts w:hint="eastAsia" w:ascii="仿宋_GB2312" w:hAnsi="仿宋_GB2312" w:eastAsia="仿宋_GB2312" w:cs="仿宋_GB2312"/>
          <w:sz w:val="32"/>
          <w:szCs w:val="32"/>
          <w:highlight w:val="none"/>
          <w:lang w:val="en-US" w:eastAsia="zh-CN"/>
        </w:rPr>
        <w:t>根据施工实际进度要求3</w:t>
      </w:r>
      <w:r>
        <w:rPr>
          <w:rFonts w:hint="eastAsia" w:ascii="仿宋_GB2312" w:hAnsi="仿宋_GB2312" w:eastAsia="仿宋_GB2312" w:cs="仿宋_GB2312"/>
          <w:sz w:val="32"/>
          <w:szCs w:val="32"/>
          <w:highlight w:val="none"/>
        </w:rPr>
        <w:t xml:space="preserve"> ]日内。</w:t>
      </w:r>
    </w:p>
    <w:p w14:paraId="4D88AB04">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2.交付地点：[ </w:t>
      </w:r>
      <w:r>
        <w:rPr>
          <w:rFonts w:hint="eastAsia" w:ascii="仿宋_GB2312" w:hAnsi="仿宋_GB2312" w:eastAsia="仿宋_GB2312" w:cs="仿宋_GB2312"/>
          <w:sz w:val="32"/>
          <w:szCs w:val="32"/>
          <w:highlight w:val="none"/>
          <w:lang w:val="en-US" w:eastAsia="zh-CN"/>
        </w:rPr>
        <w:t>海南省海口市江东新区林海一路</w:t>
      </w:r>
      <w:r>
        <w:rPr>
          <w:rFonts w:hint="eastAsia" w:ascii="仿宋_GB2312" w:hAnsi="仿宋_GB2312" w:eastAsia="仿宋_GB2312" w:cs="仿宋_GB2312"/>
          <w:sz w:val="32"/>
          <w:szCs w:val="32"/>
          <w:highlight w:val="none"/>
        </w:rPr>
        <w:t xml:space="preserve"> ]。</w:t>
      </w:r>
    </w:p>
    <w:p w14:paraId="0F15A8A0">
      <w:pPr>
        <w:widowControl/>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3.验收标准： </w:t>
      </w:r>
    </w:p>
    <w:p w14:paraId="4CF2B261">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（1）验收条款：货物到达甲方指定卸货地点后，乙方应派专人及时到现场，与甲方共同对货物的外观、数量、规格型号及质量标准</w:t>
      </w:r>
      <w:r>
        <w:rPr>
          <w:rFonts w:hint="eastAsia" w:ascii="仿宋_GB2312" w:hAnsi="仿宋_GB2312" w:eastAsia="仿宋_GB2312" w:cs="仿宋_GB2312"/>
          <w:sz w:val="32"/>
          <w:szCs w:val="32"/>
        </w:rPr>
        <w:t>进行清点检验，验收通过后双方在随货送达的送货单签字确认。送货单一式两份，双方各持一份，作为结算依据。</w:t>
      </w:r>
    </w:p>
    <w:p w14:paraId="15B20C2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现场检验时，如发现有任何不符之处，由乙方负责处理解决。如检验时，乙方人员未按时赴现场，甲方有权自行开箱检验，检验结果和记录对双方同样有效，并作为甲方向乙方提出索赔的有效证据；</w:t>
      </w:r>
    </w:p>
    <w:p w14:paraId="6A8A0B7D">
      <w:pPr>
        <w:widowControl/>
        <w:spacing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（2）异议条款：甲方若有异议，应在到货之日起[ 15 ]日内书面提出，逾期未提出书面异议，视为甲方对货物数量、规格型号验收合格，开始进入质量保证期。</w:t>
      </w:r>
      <w:r>
        <w:rPr>
          <w:rFonts w:hint="eastAsia" w:ascii="仿宋_GB2312" w:hAnsi="仿宋_GB2312" w:eastAsia="仿宋_GB2312" w:cs="仿宋_GB2312"/>
          <w:color w:val="000000"/>
          <w:kern w:val="0"/>
          <w:sz w:val="32"/>
          <w:szCs w:val="32"/>
        </w:rPr>
        <w:t xml:space="preserve">    </w:t>
      </w:r>
      <w:bookmarkStart w:id="4" w:name="_Hlk180654296"/>
    </w:p>
    <w:bookmarkEnd w:id="4"/>
    <w:p w14:paraId="4CE79EE3">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第六条 双方权利义务</w:t>
      </w:r>
    </w:p>
    <w:p w14:paraId="6CC75A8E">
      <w:pPr>
        <w:adjustRightInd w:val="0"/>
        <w:snapToGrid w:val="0"/>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p>
    <w:p w14:paraId="36E9EF99">
      <w:pPr>
        <w:adjustRightInd w:val="0"/>
        <w:snapToGrid w:val="0"/>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甲方有权对乙方交付的产品进行验收，确保产品符合合同约定的质量和技术要求。</w:t>
      </w:r>
    </w:p>
    <w:p w14:paraId="47999DB8">
      <w:pPr>
        <w:adjustRightInd w:val="0"/>
        <w:snapToGrid w:val="0"/>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2.在货物验收</w:t>
      </w:r>
      <w:r>
        <w:rPr>
          <w:rFonts w:ascii="仿宋_GB2312" w:hAnsi="仿宋_GB2312" w:eastAsia="仿宋_GB2312" w:cs="仿宋_GB2312"/>
          <w:sz w:val="32"/>
          <w:szCs w:val="32"/>
        </w:rPr>
        <w:t>如发现产品存在质量问题或不符合合同约定，甲方有权要求乙方免费更换或退货。</w:t>
      </w:r>
    </w:p>
    <w:p w14:paraId="6B446D37">
      <w:pPr>
        <w:adjustRightInd w:val="0"/>
        <w:snapToGrid w:val="0"/>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3.需要变更卸货地点时，甲方应在交货前[ 3 ]日内通知乙方，并征得乙方同意。</w:t>
      </w:r>
    </w:p>
    <w:p w14:paraId="3B1EBADC">
      <w:pPr>
        <w:adjustRightInd w:val="0"/>
        <w:snapToGrid w:val="0"/>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甲方应按照合同约定的时间和方式支付货款。付款前，乙方应提供符合甲方财务要求的正式发票。</w:t>
      </w:r>
    </w:p>
    <w:p w14:paraId="24F368B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p>
    <w:p w14:paraId="2904B8F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乙方应在合同约定的时间和地点交付</w:t>
      </w:r>
      <w:r>
        <w:rPr>
          <w:rFonts w:hint="eastAsia" w:ascii="仿宋_GB2312" w:hAnsi="仿宋_GB2312" w:eastAsia="仿宋_GB2312" w:cs="仿宋_GB2312"/>
          <w:sz w:val="32"/>
          <w:szCs w:val="32"/>
        </w:rPr>
        <w:t>货物</w:t>
      </w:r>
      <w:r>
        <w:rPr>
          <w:rFonts w:ascii="仿宋_GB2312" w:hAnsi="仿宋_GB2312" w:eastAsia="仿宋_GB2312" w:cs="仿宋_GB2312"/>
          <w:sz w:val="32"/>
          <w:szCs w:val="32"/>
        </w:rPr>
        <w:t>。</w:t>
      </w:r>
    </w:p>
    <w:p w14:paraId="353924C4">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乙方应</w:t>
      </w:r>
      <w:r>
        <w:rPr>
          <w:rFonts w:hint="eastAsia" w:ascii="仿宋_GB2312" w:hAnsi="仿宋_GB2312" w:eastAsia="仿宋_GB2312" w:cs="仿宋_GB2312"/>
          <w:sz w:val="32"/>
          <w:szCs w:val="32"/>
        </w:rPr>
        <w:t>保证所供应的货物符合</w:t>
      </w:r>
      <w:r>
        <w:rPr>
          <w:rFonts w:ascii="仿宋_GB2312" w:hAnsi="仿宋_GB2312" w:eastAsia="仿宋_GB2312" w:cs="仿宋_GB2312"/>
          <w:sz w:val="32"/>
          <w:szCs w:val="32"/>
        </w:rPr>
        <w:t>国家相关标准和</w:t>
      </w:r>
      <w:r>
        <w:rPr>
          <w:rFonts w:hint="eastAsia" w:ascii="仿宋_GB2312" w:hAnsi="仿宋_GB2312" w:eastAsia="仿宋_GB2312" w:cs="仿宋_GB2312"/>
          <w:sz w:val="32"/>
          <w:szCs w:val="32"/>
        </w:rPr>
        <w:t>双方事先约定的品质要求。</w:t>
      </w:r>
    </w:p>
    <w:p w14:paraId="6C4433C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乙方应按照国家相关标准和甲方的要求进行包装，确保货物在运输过程中不受损坏。</w:t>
      </w:r>
    </w:p>
    <w:p w14:paraId="0F83BC4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在质量保证期内，如产品出现非人为损坏的质量问题，乙方应负责免费维修或更换。</w:t>
      </w:r>
    </w:p>
    <w:p w14:paraId="4BD9C46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第七条 违约责任</w:t>
      </w:r>
    </w:p>
    <w:p w14:paraId="7C51A05A">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1.违约方未按期履行合同义务，每逾期一日须按合同总价[ 1% ]向守约方支付违约金，最高不超过合同总价的[30%]，逾期超过[30]日，守约方有权解除合同，违约方应向守约方承担本合同总价[20%]的违约金，并须赔偿因此而给甲方造成的一切损失。</w:t>
      </w:r>
    </w:p>
    <w:p w14:paraId="6281883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2.乙方供应的货物严重不符合质量标准或假冒伪劣的，甲方有权退货，且有权单方面解除本合同，由此造成的经济损失由乙方承担，甲方并保留追究乙方赔偿商誉损失的权利。</w:t>
      </w:r>
    </w:p>
    <w:p w14:paraId="1E5398FF">
      <w:pPr>
        <w:pStyle w:val="6"/>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3.无故或提前终止合同的，守约方有权要求违约方继续履行合同并承担违约责任，给对方造成损失的，应承担赔偿责任。</w:t>
      </w:r>
    </w:p>
    <w:p w14:paraId="08214183">
      <w:pPr>
        <w:pStyle w:val="6"/>
        <w:spacing w:after="0" w:line="56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bidi="ar"/>
        </w:rPr>
        <w:t>甲方因乙方违约为维护权益所产生的包括不限于律师费、诉讼费、保全费、保全保险费、鉴定费、评估费、差旅费等费用由乙方承担。</w:t>
      </w:r>
    </w:p>
    <w:p w14:paraId="7EDAEE04">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第八条 合同变更及解除</w:t>
      </w:r>
    </w:p>
    <w:p w14:paraId="2FEA0ED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1.甲、乙双方协商一致，可以对合同条款进行变更。</w:t>
      </w:r>
    </w:p>
    <w:p w14:paraId="4147D32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2.未经合同双方书面同意，任何一方不得提前终止本合同。</w:t>
      </w:r>
    </w:p>
    <w:p w14:paraId="7B7B52F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3.甲、乙双方协商一致，可以解除合同。任何一方需提前解除本合同的，应提前[7]日通知对方。</w:t>
      </w:r>
    </w:p>
    <w:p w14:paraId="452B57A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4.有以下情形之一时，任何一方有权单方面解除合同，并要求对方承担违约责任：</w:t>
      </w:r>
    </w:p>
    <w:p w14:paraId="2ACE6DD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（1）因不可抗力致使不能实现合同目的；</w:t>
      </w:r>
    </w:p>
    <w:p w14:paraId="4C59D36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（2）一方明确表示或以自己的行为表明不履行主要义务；</w:t>
      </w:r>
    </w:p>
    <w:p w14:paraId="2D1137D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（3）一方迟延履行主要义务，经催告后在合理期限内仍未履行；</w:t>
      </w:r>
    </w:p>
    <w:p w14:paraId="0898303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（4）其他根据法律规定或合同约定可以解除合同的情形；</w:t>
      </w:r>
    </w:p>
    <w:p w14:paraId="517F54AC">
      <w:pPr>
        <w:pStyle w:val="6"/>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5.合同的解除不影响其他任何合同延伸义务的继续履行。</w:t>
      </w:r>
    </w:p>
    <w:p w14:paraId="1CE03363">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 免责条款</w:t>
      </w:r>
    </w:p>
    <w:p w14:paraId="60201BD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1.本合同所称不可抗力，是指本合同各方不可预见，而且对其发生和产生的后果不能预防或不可避免且不可克服的客观情况，包括但不限于：战争、严重火灾、洪水、台风、地震、国家政策的重大变化等。</w:t>
      </w:r>
    </w:p>
    <w:p w14:paraId="4AD87D1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2.本合同任何一方因不可抗力不能履行或不能完全履行本合同的义务时，应在不可抗力发生之日起[7]日内通知本合同的其他方，并在不可抗力发生之日起[15]日内向其他方提供由有关部门出具的不可抗力证明。</w:t>
      </w:r>
    </w:p>
    <w:p w14:paraId="6E42C1F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3.因不可抗力不能履行合同的，根据不可抗力的影响，受影响方可免除部分或全部责任，但法律另有规定的除外，延迟履行合同后发生不可抗力的，不能免除责任。</w:t>
      </w:r>
    </w:p>
    <w:p w14:paraId="121874A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4.如果因不可抗力的影响致使本合同终止履行的，任何一方均有权终止本合同，并书面通知对方。</w:t>
      </w:r>
    </w:p>
    <w:p w14:paraId="4F3F120A">
      <w:pPr>
        <w:spacing w:line="560" w:lineRule="exact"/>
        <w:ind w:firstLine="640" w:firstLineChars="200"/>
        <w:rPr>
          <w:rFonts w:hint="eastAsia" w:ascii="仿宋_GB2312" w:hAnsi="仿宋_GB2312" w:eastAsia="仿宋_GB2312" w:cs="仿宋_GB2312"/>
          <w:b/>
          <w:bCs/>
          <w:color w:val="0C0C0C"/>
          <w:sz w:val="32"/>
          <w:szCs w:val="32"/>
        </w:rPr>
      </w:pPr>
      <w:r>
        <w:rPr>
          <w:rFonts w:hint="eastAsia" w:ascii="黑体" w:hAnsi="黑体" w:eastAsia="黑体" w:cs="黑体"/>
          <w:bCs/>
          <w:color w:val="0C0C0C"/>
          <w:sz w:val="32"/>
          <w:szCs w:val="32"/>
        </w:rPr>
        <w:t xml:space="preserve">第十条 </w:t>
      </w:r>
      <w:r>
        <w:rPr>
          <w:rFonts w:hint="eastAsia" w:ascii="黑体" w:hAnsi="黑体" w:eastAsia="黑体" w:cs="黑体"/>
          <w:sz w:val="32"/>
          <w:szCs w:val="32"/>
        </w:rPr>
        <w:t>争议解决</w:t>
      </w:r>
      <w:r>
        <w:rPr>
          <w:rFonts w:hint="eastAsia" w:ascii="仿宋_GB2312" w:hAnsi="仿宋_GB2312" w:eastAsia="仿宋_GB2312" w:cs="仿宋_GB2312"/>
          <w:b/>
          <w:bCs/>
          <w:color w:val="0C0C0C"/>
          <w:sz w:val="32"/>
          <w:szCs w:val="32"/>
        </w:rPr>
        <w:t xml:space="preserve"> </w:t>
      </w:r>
    </w:p>
    <w:p w14:paraId="41A3E366">
      <w:pPr>
        <w:spacing w:line="560" w:lineRule="exact"/>
        <w:ind w:firstLine="640" w:firstLineChars="200"/>
        <w:rPr>
          <w:rFonts w:hint="eastAsia" w:ascii="仿宋_GB2312" w:hAnsi="仿宋_GB2312" w:eastAsia="仿宋_GB2312" w:cs="仿宋_GB2312"/>
          <w:sz w:val="32"/>
          <w:szCs w:val="32"/>
        </w:rPr>
      </w:pPr>
      <w:bookmarkStart w:id="5" w:name="OLE_LINK2"/>
      <w:r>
        <w:rPr>
          <w:rFonts w:hint="eastAsia" w:ascii="仿宋_GB2312" w:hAnsi="仿宋_GB2312" w:eastAsia="仿宋_GB2312" w:cs="仿宋_GB2312"/>
          <w:sz w:val="32"/>
          <w:szCs w:val="32"/>
        </w:rPr>
        <w:t>1.凡因本合同引起的或与本合同有关的任何争议，双方均应友好协商；协商不成的，通过下列第[1]种方式解决：</w:t>
      </w:r>
    </w:p>
    <w:p w14:paraId="47578AC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（1）机构仲裁</w:t>
      </w:r>
    </w:p>
    <w:p w14:paraId="047311F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提交海南国际仲裁院，按照该机构现行有效仲裁规则进行仲裁。仲裁裁决是终局的，对双方均有约束力。</w:t>
      </w:r>
    </w:p>
    <w:p w14:paraId="4D85E4C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（2）向[甲方]所在地有管辖权的人民法院提起诉讼。</w:t>
      </w:r>
    </w:p>
    <w:p w14:paraId="24A5DC1E">
      <w:pPr>
        <w:pStyle w:val="15"/>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2.合同有关争议解决的条款独立存在，合同的变更、解除、终止、无效或者被撤销均不影响其效力。在诉讼期间，除正在进行诉讼的部分外，合同其它部分应继续执行。</w:t>
      </w:r>
      <w:bookmarkEnd w:id="5"/>
    </w:p>
    <w:p w14:paraId="09FA251F">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 通知与送达</w:t>
      </w:r>
    </w:p>
    <w:p w14:paraId="5C6ECEE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w:t>
      </w:r>
      <w:r>
        <w:rPr>
          <w:rFonts w:ascii="仿宋_GB2312" w:hAnsi="仿宋_GB2312" w:eastAsia="仿宋_GB2312" w:cs="仿宋_GB2312"/>
          <w:sz w:val="32"/>
          <w:szCs w:val="32"/>
        </w:rPr>
        <w:t>双方确认各自的合法有效送达地址及联系方式如下（合同履行及争议解决过程中均可按照下列方式进行送达）：</w:t>
      </w:r>
    </w:p>
    <w:p w14:paraId="22048069">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甲方：</w:t>
      </w:r>
      <w:r>
        <w:rPr>
          <w:rFonts w:hint="eastAsia" w:ascii="仿宋_GB2312" w:hAnsi="仿宋_GB2312" w:eastAsia="仿宋_GB2312" w:cs="仿宋_GB2312"/>
          <w:sz w:val="32"/>
          <w:szCs w:val="32"/>
        </w:rPr>
        <w:t>海南省桂林洋公用事业发展有限公司</w:t>
      </w:r>
    </w:p>
    <w:p w14:paraId="21BF05BA">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送达地址：</w:t>
      </w:r>
      <w:r>
        <w:rPr>
          <w:rFonts w:hint="eastAsia" w:ascii="仿宋_GB2312" w:hAnsi="仿宋_GB2312" w:eastAsia="仿宋_GB2312" w:cs="仿宋_GB2312"/>
          <w:sz w:val="32"/>
          <w:szCs w:val="32"/>
        </w:rPr>
        <w:t>海口市桂林洋经济开发区兴洋大道94号</w:t>
      </w:r>
    </w:p>
    <w:p w14:paraId="384B7249">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收件人：</w:t>
      </w:r>
      <w:r>
        <w:rPr>
          <w:rFonts w:hint="eastAsia" w:ascii="仿宋_GB2312" w:hAnsi="仿宋_GB2312" w:eastAsia="仿宋_GB2312" w:cs="仿宋_GB2312"/>
          <w:sz w:val="32"/>
          <w:szCs w:val="32"/>
          <w:lang w:val="en-US" w:eastAsia="zh-CN"/>
        </w:rPr>
        <w:t xml:space="preserve"> </w:t>
      </w:r>
    </w:p>
    <w:p w14:paraId="416C1976">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联系方式：</w:t>
      </w:r>
      <w:r>
        <w:rPr>
          <w:rFonts w:hint="eastAsia" w:ascii="仿宋_GB2312" w:hAnsi="仿宋_GB2312" w:eastAsia="仿宋_GB2312" w:cs="仿宋_GB2312"/>
          <w:sz w:val="32"/>
          <w:szCs w:val="32"/>
          <w:lang w:val="en-US" w:eastAsia="zh-CN"/>
        </w:rPr>
        <w:t xml:space="preserve"> </w:t>
      </w:r>
    </w:p>
    <w:p w14:paraId="6B198D85">
      <w:pPr>
        <w:spacing w:line="560" w:lineRule="exact"/>
        <w:ind w:firstLine="640" w:firstLineChars="200"/>
        <w:rPr>
          <w:rFonts w:hint="eastAsia" w:ascii="仿宋_GB2312" w:hAnsi="仿宋_GB2312" w:eastAsia="仿宋_GB2312" w:cs="仿宋_GB2312"/>
          <w:sz w:val="32"/>
          <w:szCs w:val="32"/>
        </w:rPr>
      </w:pPr>
    </w:p>
    <w:p w14:paraId="4E57165C">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乙方：</w:t>
      </w:r>
    </w:p>
    <w:p w14:paraId="7E01A8C0">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送达地址：</w:t>
      </w:r>
    </w:p>
    <w:p w14:paraId="20B3CC15">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收件人：</w:t>
      </w:r>
    </w:p>
    <w:p w14:paraId="2CA8FEB2">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联系方式：</w:t>
      </w:r>
    </w:p>
    <w:p w14:paraId="6A3FCDE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一方变更名称、地址、联系人或联系方式的，应当在变更后</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日内及时书面通知对方当事人，对方当事人实际收到变更通知前的送达仍为有效送达，</w:t>
      </w:r>
      <w:r>
        <w:rPr>
          <w:rFonts w:hint="eastAsia" w:ascii="仿宋_GB2312" w:hAnsi="仿宋_GB2312" w:eastAsia="仿宋_GB2312" w:cs="仿宋_GB2312"/>
          <w:sz w:val="32"/>
          <w:szCs w:val="32"/>
        </w:rPr>
        <w:t>电子</w:t>
      </w:r>
      <w:r>
        <w:rPr>
          <w:rFonts w:ascii="仿宋_GB2312" w:hAnsi="仿宋_GB2312" w:eastAsia="仿宋_GB2312" w:cs="仿宋_GB2312"/>
          <w:sz w:val="32"/>
          <w:szCs w:val="32"/>
        </w:rPr>
        <w:t>送达与书面送达具有同等法律效力。变更方未及时通知的，对方当事人按照变更前的信息进行送达的仍视为有效送达，因此产生的不利后果由变更方承担。</w:t>
      </w:r>
    </w:p>
    <w:p w14:paraId="2CCBE01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一方向另一方送达文件，以被送达方的签收日期作为送达日期。通过快递方式送达的，以快递签收日期为送达</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。被送达方拒收或无法送达的，由交邮后第</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日视为已经送达。通过电子文件送达的，自前述电子文件内容在发送方正确填写地址</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被系统退回的情况下，自文件进入对方数据电文接收系统即视为送达，若送达日为非工作日，则在下一个工作日视为已经送达。</w:t>
      </w:r>
    </w:p>
    <w:p w14:paraId="24603715">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本条款为独立系款，不受合同整体或其他</w:t>
      </w:r>
      <w:r>
        <w:rPr>
          <w:rFonts w:hint="eastAsia" w:ascii="仿宋_GB2312" w:hAnsi="仿宋_GB2312" w:eastAsia="仿宋_GB2312" w:cs="仿宋_GB2312"/>
          <w:sz w:val="32"/>
          <w:szCs w:val="32"/>
        </w:rPr>
        <w:t>条款</w:t>
      </w:r>
      <w:r>
        <w:rPr>
          <w:rFonts w:ascii="仿宋_GB2312" w:hAnsi="仿宋_GB2312" w:eastAsia="仿宋_GB2312" w:cs="仿宋_GB2312"/>
          <w:sz w:val="32"/>
          <w:szCs w:val="32"/>
        </w:rPr>
        <w:t>的效力的影响，始终有效。</w:t>
      </w:r>
    </w:p>
    <w:p w14:paraId="1A2DF5F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 其他约定事项</w:t>
      </w:r>
    </w:p>
    <w:p w14:paraId="7042270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1.本合同未尽事宜，双方可另行签订补充协议，补充协议与本合同具有同等法律效力。</w:t>
      </w:r>
    </w:p>
    <w:p w14:paraId="34DFFBA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2.本合同自双方法定代表人或授权代表人签字并盖章之日起生效，有效期至[产品质量保证期结束]。</w:t>
      </w:r>
    </w:p>
    <w:p w14:paraId="0FC613DB">
      <w:pPr>
        <w:spacing w:line="560" w:lineRule="exact"/>
        <w:ind w:firstLine="640" w:firstLineChars="200"/>
        <w:rPr>
          <w:sz w:val="28"/>
          <w:szCs w:val="28"/>
        </w:rPr>
      </w:pPr>
      <w:r>
        <w:rPr>
          <w:rFonts w:hint="eastAsia" w:ascii="仿宋_GB2312" w:hAnsi="仿宋_GB2312" w:eastAsia="仿宋_GB2312" w:cs="仿宋_GB2312"/>
          <w:sz w:val="32"/>
          <w:szCs w:val="32"/>
        </w:rPr>
        <w:t>3.本合同一式[陆]份，由甲方执[叁]份，乙方执[叁]份，具有同等法律效力。</w:t>
      </w:r>
    </w:p>
    <w:p w14:paraId="3CF47866">
      <w:pPr>
        <w:adjustRightInd w:val="0"/>
        <w:snapToGrid w:val="0"/>
        <w:spacing w:line="560" w:lineRule="exact"/>
        <w:ind w:firstLine="560" w:firstLineChars="200"/>
        <w:jc w:val="left"/>
        <w:rPr>
          <w:sz w:val="28"/>
          <w:szCs w:val="28"/>
        </w:rPr>
      </w:pPr>
    </w:p>
    <w:p w14:paraId="3D98D297">
      <w:pPr>
        <w:adjustRightInd w:val="0"/>
        <w:snapToGrid w:val="0"/>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附件：1.廉政协议书</w:t>
      </w:r>
    </w:p>
    <w:p w14:paraId="760C43B5">
      <w:pPr>
        <w:adjustRightInd w:val="0"/>
        <w:snapToGrid w:val="0"/>
        <w:spacing w:line="560" w:lineRule="exact"/>
        <w:ind w:firstLine="1400" w:firstLineChars="5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2.保密承诺函</w:t>
      </w:r>
    </w:p>
    <w:p w14:paraId="09BBB19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590F443">
      <w:pPr>
        <w:spacing w:line="560" w:lineRule="exact"/>
        <w:rPr>
          <w:rFonts w:hint="eastAsia" w:ascii="仿宋_GB2312" w:hAnsi="仿宋_GB2312" w:eastAsia="仿宋_GB2312" w:cs="仿宋_GB2312"/>
          <w:sz w:val="32"/>
          <w:szCs w:val="32"/>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6"/>
        <w:gridCol w:w="4857"/>
      </w:tblGrid>
      <w:tr w14:paraId="5EA2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4856" w:type="dxa"/>
          </w:tcPr>
          <w:p w14:paraId="009944E7">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甲方（盖章）：海南省桂林洋公用事业发展有限公司</w:t>
            </w:r>
          </w:p>
        </w:tc>
        <w:tc>
          <w:tcPr>
            <w:tcW w:w="4857" w:type="dxa"/>
          </w:tcPr>
          <w:p w14:paraId="12F5113C">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乙方（盖章）：</w:t>
            </w:r>
          </w:p>
        </w:tc>
      </w:tr>
      <w:tr w14:paraId="3B3B2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4856" w:type="dxa"/>
          </w:tcPr>
          <w:p w14:paraId="017DD382">
            <w:pPr>
              <w:spacing w:line="560" w:lineRule="exact"/>
              <w:rPr>
                <w:rFonts w:hint="eastAsia" w:ascii="仿宋_GB2312" w:hAnsi="仿宋_GB2312" w:eastAsia="仿宋_GB2312" w:cs="仿宋_GB2312"/>
                <w:sz w:val="32"/>
                <w:szCs w:val="32"/>
              </w:rPr>
            </w:pPr>
          </w:p>
        </w:tc>
        <w:tc>
          <w:tcPr>
            <w:tcW w:w="4857" w:type="dxa"/>
          </w:tcPr>
          <w:p w14:paraId="5327DC4C">
            <w:pPr>
              <w:spacing w:line="560" w:lineRule="exact"/>
              <w:rPr>
                <w:rFonts w:hint="eastAsia" w:ascii="仿宋_GB2312" w:hAnsi="仿宋_GB2312" w:eastAsia="仿宋_GB2312" w:cs="仿宋_GB2312"/>
                <w:sz w:val="32"/>
                <w:szCs w:val="32"/>
              </w:rPr>
            </w:pPr>
          </w:p>
        </w:tc>
      </w:tr>
      <w:tr w14:paraId="3D28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4856" w:type="dxa"/>
          </w:tcPr>
          <w:p w14:paraId="2C01C067">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法定代表人/授权代表：</w:t>
            </w:r>
          </w:p>
        </w:tc>
        <w:tc>
          <w:tcPr>
            <w:tcW w:w="4857" w:type="dxa"/>
          </w:tcPr>
          <w:p w14:paraId="5A3EFAC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法定代表人/授权代表：</w:t>
            </w:r>
          </w:p>
        </w:tc>
      </w:tr>
      <w:tr w14:paraId="3E38F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4856" w:type="dxa"/>
          </w:tcPr>
          <w:p w14:paraId="7C65188D">
            <w:pPr>
              <w:spacing w:line="560" w:lineRule="exact"/>
              <w:rPr>
                <w:rFonts w:hint="eastAsia" w:ascii="仿宋_GB2312" w:hAnsi="仿宋_GB2312" w:eastAsia="仿宋_GB2312" w:cs="仿宋_GB2312"/>
                <w:sz w:val="32"/>
                <w:szCs w:val="32"/>
              </w:rPr>
            </w:pPr>
          </w:p>
        </w:tc>
        <w:tc>
          <w:tcPr>
            <w:tcW w:w="4857" w:type="dxa"/>
          </w:tcPr>
          <w:p w14:paraId="4D6BDE38">
            <w:pPr>
              <w:spacing w:line="560" w:lineRule="exact"/>
              <w:rPr>
                <w:rFonts w:hint="eastAsia" w:ascii="仿宋_GB2312" w:hAnsi="仿宋_GB2312" w:eastAsia="仿宋_GB2312" w:cs="仿宋_GB2312"/>
                <w:sz w:val="32"/>
                <w:szCs w:val="32"/>
              </w:rPr>
            </w:pPr>
          </w:p>
        </w:tc>
      </w:tr>
      <w:tr w14:paraId="2482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14:paraId="4A50B6CC">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p>
        </w:tc>
        <w:tc>
          <w:tcPr>
            <w:tcW w:w="4857" w:type="dxa"/>
          </w:tcPr>
          <w:p w14:paraId="158182C2">
            <w:pPr>
              <w:spacing w:line="560" w:lineRule="exact"/>
              <w:rPr>
                <w:rFonts w:hint="eastAsia" w:ascii="仿宋_GB2312" w:hAnsi="仿宋_GB2312" w:eastAsia="仿宋_GB2312" w:cs="仿宋_GB2312"/>
                <w:sz w:val="32"/>
                <w:szCs w:val="32"/>
              </w:rPr>
            </w:pPr>
          </w:p>
        </w:tc>
      </w:tr>
      <w:tr w14:paraId="5125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13" w:type="dxa"/>
            <w:gridSpan w:val="2"/>
          </w:tcPr>
          <w:p w14:paraId="2C478E2A">
            <w:pPr>
              <w:spacing w:line="56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签订日期：XX年XX月XX日</w:t>
            </w:r>
          </w:p>
          <w:p w14:paraId="5025B1E1">
            <w:pPr>
              <w:spacing w:line="560" w:lineRule="exact"/>
              <w:rPr>
                <w:rFonts w:hint="eastAsia" w:ascii="仿宋_GB2312" w:hAnsi="仿宋_GB2312" w:eastAsia="仿宋_GB2312" w:cs="仿宋_GB2312"/>
                <w:sz w:val="32"/>
                <w:szCs w:val="32"/>
              </w:rPr>
            </w:pPr>
          </w:p>
        </w:tc>
      </w:tr>
    </w:tbl>
    <w:p w14:paraId="376807F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79A0D935">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仿宋" w:hAnsi="仿宋" w:eastAsia="仿宋" w:cs="仿宋"/>
          <w:b/>
          <w:bCs/>
          <w:sz w:val="32"/>
          <w:szCs w:val="32"/>
          <w:lang w:val="en-US" w:eastAsia="zh-CN"/>
        </w:rPr>
      </w:pPr>
      <w:r>
        <w:rPr>
          <w:rFonts w:hint="eastAsia" w:ascii="黑体" w:hAnsi="黑体" w:eastAsia="黑体" w:cs="黑体"/>
          <w:b w:val="0"/>
          <w:bCs/>
          <w:color w:val="000000"/>
          <w:sz w:val="32"/>
          <w:szCs w:val="32"/>
        </w:rPr>
        <w:t>附件</w:t>
      </w:r>
      <w:r>
        <w:rPr>
          <w:rFonts w:hint="eastAsia" w:ascii="黑体" w:hAnsi="黑体" w:eastAsia="黑体" w:cs="黑体"/>
          <w:b w:val="0"/>
          <w:bCs/>
          <w:color w:val="000000"/>
          <w:sz w:val="32"/>
          <w:szCs w:val="32"/>
          <w:lang w:val="en-US" w:eastAsia="zh-CN"/>
        </w:rPr>
        <w:t>1 廉政协议书</w:t>
      </w:r>
    </w:p>
    <w:p w14:paraId="0D7004FB">
      <w:pPr>
        <w:pageBreakBefore w:val="0"/>
        <w:kinsoku/>
        <w:overflowPunct/>
        <w:topLinePunct w:val="0"/>
        <w:bidi w:val="0"/>
        <w:snapToGrid/>
        <w:spacing w:before="156" w:beforeLines="50" w:after="156" w:afterLines="50" w:line="560" w:lineRule="exact"/>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廉政协议书</w:t>
      </w:r>
    </w:p>
    <w:p w14:paraId="11C91907">
      <w:pPr>
        <w:pageBreakBefore w:val="0"/>
        <w:kinsoku/>
        <w:overflowPunct/>
        <w:topLinePunct w:val="0"/>
        <w:bidi w:val="0"/>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需求方</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海南省桂林洋公用事业发展有限公司</w:t>
      </w:r>
      <w:r>
        <w:rPr>
          <w:rFonts w:hint="eastAsia" w:ascii="仿宋_GB2312" w:hAnsi="仿宋_GB2312" w:eastAsia="仿宋_GB2312" w:cs="仿宋_GB2312"/>
          <w:b/>
          <w:bCs/>
          <w:sz w:val="32"/>
          <w:szCs w:val="32"/>
        </w:rPr>
        <w:t xml:space="preserve">      </w:t>
      </w:r>
    </w:p>
    <w:p w14:paraId="66AD6008">
      <w:pPr>
        <w:pageBreakBefore w:val="0"/>
        <w:kinsoku/>
        <w:overflowPunct/>
        <w:topLinePunct w:val="0"/>
        <w:bidi w:val="0"/>
        <w:snapToGrid/>
        <w:spacing w:line="560" w:lineRule="exact"/>
        <w:textAlignment w:val="auto"/>
        <w:rPr>
          <w:rFonts w:hint="eastAsia"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lang w:eastAsia="zh-CN"/>
        </w:rPr>
        <w:t>供货方</w:t>
      </w:r>
      <w:r>
        <w:rPr>
          <w:rFonts w:hint="eastAsia" w:ascii="仿宋_GB2312" w:hAnsi="仿宋_GB2312" w:eastAsia="仿宋_GB2312" w:cs="仿宋_GB2312"/>
          <w:b/>
          <w:bCs/>
          <w:sz w:val="32"/>
          <w:szCs w:val="32"/>
        </w:rPr>
        <w:t xml:space="preserve">：      </w:t>
      </w:r>
    </w:p>
    <w:p w14:paraId="6FDFBFAA">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为加强廉政建设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防止发生各种谋取不正当利益的违法违纪行为，保障顺畅的商业秩序和公平的商业环境，确保双方工作人员在合同履行过程中廉洁自律、诚实守信，保护双方的合法权益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经双方协定，签订本廉政协议书。</w:t>
      </w:r>
    </w:p>
    <w:p w14:paraId="62B924A0">
      <w:pPr>
        <w:pageBreakBefore w:val="0"/>
        <w:kinsoku/>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b/>
          <w:bCs/>
          <w:sz w:val="32"/>
          <w:szCs w:val="32"/>
          <w:lang w:eastAsia="zh-CN"/>
        </w:rPr>
        <w:t>需求方</w:t>
      </w:r>
      <w:r>
        <w:rPr>
          <w:rFonts w:hint="eastAsia" w:ascii="仿宋_GB2312" w:hAnsi="仿宋_GB2312" w:eastAsia="仿宋_GB2312" w:cs="仿宋_GB2312"/>
          <w:b/>
          <w:bCs/>
          <w:sz w:val="32"/>
          <w:szCs w:val="32"/>
        </w:rPr>
        <w:t>与</w:t>
      </w:r>
      <w:r>
        <w:rPr>
          <w:rFonts w:hint="eastAsia" w:ascii="仿宋_GB2312" w:hAnsi="仿宋_GB2312" w:eastAsia="仿宋_GB2312" w:cs="仿宋_GB2312"/>
          <w:b/>
          <w:bCs/>
          <w:sz w:val="32"/>
          <w:szCs w:val="32"/>
          <w:lang w:eastAsia="zh-CN"/>
        </w:rPr>
        <w:t>供货方</w:t>
      </w:r>
      <w:r>
        <w:rPr>
          <w:rFonts w:hint="eastAsia" w:ascii="仿宋_GB2312" w:hAnsi="仿宋_GB2312" w:eastAsia="仿宋_GB2312" w:cs="仿宋_GB2312"/>
          <w:b/>
          <w:bCs/>
          <w:sz w:val="32"/>
          <w:szCs w:val="32"/>
        </w:rPr>
        <w:t>双方责任</w:t>
      </w:r>
    </w:p>
    <w:p w14:paraId="2D52883B">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（一）严格遵守国家法律法规以及廉政建设方面的有关规定。</w:t>
      </w:r>
    </w:p>
    <w:p w14:paraId="40512442">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（二）严格遵守《廉政制度》相关规定。</w:t>
      </w:r>
    </w:p>
    <w:p w14:paraId="29E4DAAA">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（三）自确定合同主体、签订合同直至合同履行结束全过程，</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双方应全面履行合同内容及廉政协议的各项规定，自觉按合同办事。</w:t>
      </w:r>
    </w:p>
    <w:p w14:paraId="3C45FA13">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（四）双方的业务活动坚持公开、公正、诚信、透明的原则，法律认定另有说明规定的商业秘密和合同文件除外。</w:t>
      </w:r>
    </w:p>
    <w:p w14:paraId="5A9363AB">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（五）在业务活动中发现对方有违规、违纪、违法行为的，应及时提醒对方，情节严重的应向其上级主管部门或纪检监察部门举报。</w:t>
      </w:r>
    </w:p>
    <w:p w14:paraId="3C18E430">
      <w:pPr>
        <w:pageBreakBefore w:val="0"/>
        <w:kinsoku/>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b/>
          <w:bCs/>
          <w:sz w:val="32"/>
          <w:szCs w:val="32"/>
          <w:lang w:eastAsia="zh-CN"/>
        </w:rPr>
        <w:t>需求方</w:t>
      </w:r>
      <w:r>
        <w:rPr>
          <w:rFonts w:hint="eastAsia" w:ascii="仿宋_GB2312" w:hAnsi="仿宋_GB2312" w:eastAsia="仿宋_GB2312" w:cs="仿宋_GB2312"/>
          <w:b/>
          <w:bCs/>
          <w:sz w:val="32"/>
          <w:szCs w:val="32"/>
        </w:rPr>
        <w:t>责任</w:t>
      </w:r>
    </w:p>
    <w:p w14:paraId="50688509">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单位及工作人员在合同签订及履行过程中应做到：</w:t>
      </w:r>
    </w:p>
    <w:p w14:paraId="6953D58A">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（一）严格遵守廉洁从业各项规定，不得以任何形式向</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0B901EC4">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（二）不得在</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单位及</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所属单位报销任何应由</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单位或个人支付的费用；</w:t>
      </w:r>
    </w:p>
    <w:p w14:paraId="64CB4B2A">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（三）不得参加可能对公正执行公务有影响的宴请和娱乐活动；</w:t>
      </w:r>
    </w:p>
    <w:p w14:paraId="267BEF16">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（四）除合同特别约定外，不得向</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推销或指定使用各种材料及设备等。</w:t>
      </w:r>
    </w:p>
    <w:p w14:paraId="189815A7">
      <w:pPr>
        <w:pageBreakBefore w:val="0"/>
        <w:kinsoku/>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b/>
          <w:bCs/>
          <w:sz w:val="32"/>
          <w:szCs w:val="32"/>
          <w:lang w:eastAsia="zh-CN"/>
        </w:rPr>
        <w:t>供货方</w:t>
      </w:r>
      <w:r>
        <w:rPr>
          <w:rFonts w:hint="eastAsia" w:ascii="仿宋_GB2312" w:hAnsi="仿宋_GB2312" w:eastAsia="仿宋_GB2312" w:cs="仿宋_GB2312"/>
          <w:b/>
          <w:bCs/>
          <w:sz w:val="32"/>
          <w:szCs w:val="32"/>
        </w:rPr>
        <w:t>责任</w:t>
      </w:r>
    </w:p>
    <w:p w14:paraId="1AD1693A">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单位及所属工作人员在合同签订及履行过程中应做到：</w:t>
      </w:r>
    </w:p>
    <w:p w14:paraId="1CF4500C">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（一）不得向</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工作人员及第三方赠送礼品、礼金、有价证券、支付凭证等金钱或实物；</w:t>
      </w:r>
    </w:p>
    <w:p w14:paraId="1B5AC243">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（三）不得为</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单位或个人购置或者提供通信工具、交通工具、家电、高档办公用品等；</w:t>
      </w:r>
    </w:p>
    <w:p w14:paraId="562AD9CE">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（三）不得以任何形式、理由为</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和相关单位报销应由</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单位或工作人员支付的费用；</w:t>
      </w:r>
    </w:p>
    <w:p w14:paraId="6795DB2B">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（四）不得组织有可能影响</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工作人员履行公职职责或可能影响产品质量、廉政建设的宴请、旅游等各种高消费娱乐活动。</w:t>
      </w:r>
    </w:p>
    <w:p w14:paraId="7C27ABD4">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（五）不得为</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工作人员住房装修、婚丧嫁娶、家属和子女的工作安排以及出国等提供方便。</w:t>
      </w:r>
    </w:p>
    <w:p w14:paraId="52BF2E46">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（六）如遇到</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工作人员向</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单位或个人索要任何不正当利益时，</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单位或个人有义务向</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举报。</w:t>
      </w:r>
    </w:p>
    <w:p w14:paraId="1AFE7495">
      <w:pPr>
        <w:pageBreakBefore w:val="0"/>
        <w:kinsoku/>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 违约责任</w:t>
      </w:r>
    </w:p>
    <w:p w14:paraId="21D3B2C6">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工作人员有违反本协议书责任行为的，按照管理权限，依据有关法律法规和规定，追究相关法律责任。涉嫌犯罪的，移交司法机关追究刑事责任；给</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单位造成经济损失的，应予以赔偿。</w:t>
      </w:r>
    </w:p>
    <w:p w14:paraId="0D1D786D">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工作人员或所属单位人员有违反本协议书责任行为的，</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有权要求</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val="en-US" w:eastAsia="zh-CN"/>
        </w:rPr>
        <w:t>购销</w:t>
      </w:r>
      <w:r>
        <w:rPr>
          <w:rFonts w:hint="eastAsia" w:ascii="仿宋_GB2312" w:hAnsi="仿宋_GB2312" w:eastAsia="仿宋_GB2312" w:cs="仿宋_GB2312"/>
          <w:sz w:val="32"/>
          <w:szCs w:val="32"/>
        </w:rPr>
        <w:t>合同价款30%的违约金；违约情况严重而被当地纪检、监察、检察机关立案调查的，除追究</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的上述责任外，</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有权终止与</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签订的合作合同；违约金不足以弥补给</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造成的实际经济损失的，</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应当赔偿给</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造成的实际经济损失。</w:t>
      </w:r>
    </w:p>
    <w:p w14:paraId="2389849E">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（三）双方约定：本协议书由</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 xml:space="preserve">双方上级主管部门担任监督单位。违约情况发生下由双方监督单位对本协议书履行情况进行检查，提出在本承诺书规定范围内的裁定意见。  </w:t>
      </w:r>
    </w:p>
    <w:p w14:paraId="57BAFF82">
      <w:pPr>
        <w:pageBreakBefore w:val="0"/>
        <w:kinsoku/>
        <w:overflowPunct/>
        <w:topLinePunct w:val="0"/>
        <w:bidi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本协议书作为主合同的附件，与主合同具有同等法律效力，经双方</w:t>
      </w:r>
      <w:r>
        <w:rPr>
          <w:rFonts w:hint="eastAsia" w:ascii="仿宋_GB2312" w:hAnsi="仿宋_GB2312" w:eastAsia="仿宋_GB2312" w:cs="仿宋_GB2312"/>
          <w:sz w:val="32"/>
          <w:szCs w:val="32"/>
          <w:lang w:val="en-US" w:eastAsia="zh-CN"/>
        </w:rPr>
        <w:t>法定代表人或授权代表签字并加盖企业公章或合同章</w:t>
      </w:r>
      <w:r>
        <w:rPr>
          <w:rFonts w:hint="eastAsia" w:ascii="仿宋_GB2312" w:hAnsi="仿宋_GB2312" w:eastAsia="仿宋_GB2312" w:cs="仿宋_GB2312"/>
          <w:sz w:val="32"/>
          <w:szCs w:val="32"/>
        </w:rPr>
        <w:t>后生效。</w:t>
      </w:r>
    </w:p>
    <w:p w14:paraId="1AD2CD9D">
      <w:pPr>
        <w:pageBreakBefore w:val="0"/>
        <w:kinsoku/>
        <w:overflowPunct/>
        <w:topLinePunct w:val="0"/>
        <w:bidi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本协议书的有效期与主合同的有效期一致。</w:t>
      </w:r>
    </w:p>
    <w:p w14:paraId="7986B72B">
      <w:pPr>
        <w:pageBreakBefore w:val="0"/>
        <w:kinsoku/>
        <w:overflowPunct/>
        <w:topLinePunct w:val="0"/>
        <w:bidi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未尽事宜，由双方协商解决。</w:t>
      </w:r>
    </w:p>
    <w:p w14:paraId="77EE5929">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74FB2B3">
      <w:pPr>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bl>
      <w:tblPr>
        <w:tblStyle w:val="10"/>
        <w:tblW w:w="8318"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159"/>
        <w:gridCol w:w="4159"/>
      </w:tblGrid>
      <w:tr w14:paraId="7F8B3264">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948" w:hRule="atLeast"/>
        </w:trPr>
        <w:tc>
          <w:tcPr>
            <w:tcW w:w="4159" w:type="dxa"/>
            <w:noWrap w:val="0"/>
            <w:vAlign w:val="center"/>
          </w:tcPr>
          <w:p w14:paraId="0AB8AE3A">
            <w:pPr>
              <w:pageBreakBefore w:val="0"/>
              <w:kinsoku/>
              <w:overflowPunct/>
              <w:topLinePunct w:val="0"/>
              <w:bidi w:val="0"/>
              <w:snapToGrid/>
              <w:spacing w:line="560" w:lineRule="exact"/>
              <w:textAlignment w:val="auto"/>
              <w:rPr>
                <w:rFonts w:hint="eastAsia" w:ascii="仿宋_GB2312" w:hAnsi="仿宋_GB2312" w:eastAsia="仿宋_GB2312" w:cs="仿宋_GB2312"/>
                <w:b w:val="0"/>
                <w:bCs w:val="0"/>
                <w:sz w:val="32"/>
                <w:szCs w:val="32"/>
              </w:rPr>
            </w:pPr>
            <w:bookmarkStart w:id="6" w:name="_Hlk66781211"/>
            <w:r>
              <w:rPr>
                <w:rFonts w:hint="eastAsia" w:ascii="仿宋_GB2312" w:hAnsi="仿宋_GB2312" w:eastAsia="仿宋_GB2312" w:cs="仿宋_GB2312"/>
                <w:b w:val="0"/>
                <w:bCs w:val="0"/>
                <w:sz w:val="32"/>
                <w:szCs w:val="32"/>
                <w:lang w:eastAsia="zh-CN"/>
              </w:rPr>
              <w:t>需求方</w:t>
            </w:r>
            <w:r>
              <w:rPr>
                <w:rFonts w:hint="eastAsia" w:ascii="仿宋_GB2312" w:hAnsi="仿宋_GB2312" w:eastAsia="仿宋_GB2312" w:cs="仿宋_GB2312"/>
                <w:b w:val="0"/>
                <w:bCs w:val="0"/>
                <w:sz w:val="32"/>
                <w:szCs w:val="32"/>
              </w:rPr>
              <w:t>：海南省桂林洋公用事业发展有限公司（盖章）</w:t>
            </w:r>
          </w:p>
        </w:tc>
        <w:tc>
          <w:tcPr>
            <w:tcW w:w="4159" w:type="dxa"/>
            <w:noWrap w:val="0"/>
            <w:vAlign w:val="center"/>
          </w:tcPr>
          <w:p w14:paraId="3C4DBC8B">
            <w:pPr>
              <w:pageBreakBefore w:val="0"/>
              <w:kinsoku/>
              <w:overflowPunct/>
              <w:topLinePunct w:val="0"/>
              <w:bidi w:val="0"/>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供货方</w:t>
            </w:r>
            <w:r>
              <w:rPr>
                <w:rFonts w:hint="eastAsia" w:ascii="仿宋_GB2312" w:hAnsi="仿宋_GB2312" w:eastAsia="仿宋_GB2312" w:cs="仿宋_GB2312"/>
                <w:b w:val="0"/>
                <w:bCs w:val="0"/>
                <w:sz w:val="32"/>
                <w:szCs w:val="32"/>
              </w:rPr>
              <w:t>：（盖章）</w:t>
            </w:r>
          </w:p>
        </w:tc>
      </w:tr>
      <w:tr w14:paraId="10D63FEB">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812" w:hRule="atLeast"/>
        </w:trPr>
        <w:tc>
          <w:tcPr>
            <w:tcW w:w="4159" w:type="dxa"/>
            <w:noWrap w:val="0"/>
            <w:vAlign w:val="top"/>
          </w:tcPr>
          <w:p w14:paraId="47D13D2E">
            <w:pPr>
              <w:pageBreakBefore w:val="0"/>
              <w:kinsoku/>
              <w:overflowPunct/>
              <w:topLinePunct w:val="0"/>
              <w:bidi w:val="0"/>
              <w:snapToGrid/>
              <w:spacing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法定代表人或其委托代理人：</w:t>
            </w:r>
          </w:p>
          <w:p w14:paraId="59F8A89F">
            <w:pPr>
              <w:pageBreakBefore w:val="0"/>
              <w:kinsoku/>
              <w:overflowPunct/>
              <w:topLinePunct w:val="0"/>
              <w:bidi w:val="0"/>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（签字或盖章）</w:t>
            </w:r>
          </w:p>
          <w:p w14:paraId="5CDD5A55">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val="0"/>
                <w:sz w:val="32"/>
                <w:szCs w:val="32"/>
              </w:rPr>
            </w:pPr>
          </w:p>
        </w:tc>
        <w:tc>
          <w:tcPr>
            <w:tcW w:w="4159" w:type="dxa"/>
            <w:noWrap w:val="0"/>
            <w:vAlign w:val="top"/>
          </w:tcPr>
          <w:p w14:paraId="262D8B97">
            <w:pPr>
              <w:pageBreakBefore w:val="0"/>
              <w:kinsoku/>
              <w:overflowPunct/>
              <w:topLinePunct w:val="0"/>
              <w:bidi w:val="0"/>
              <w:snapToGrid/>
              <w:spacing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法定代表人或其委托代理人：</w:t>
            </w:r>
          </w:p>
          <w:p w14:paraId="137C30A0">
            <w:pPr>
              <w:pageBreakBefore w:val="0"/>
              <w:kinsoku/>
              <w:overflowPunct/>
              <w:topLinePunct w:val="0"/>
              <w:bidi w:val="0"/>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（签字或盖章）</w:t>
            </w:r>
          </w:p>
          <w:p w14:paraId="726DBA25">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val="0"/>
                <w:sz w:val="32"/>
                <w:szCs w:val="32"/>
              </w:rPr>
            </w:pPr>
          </w:p>
        </w:tc>
      </w:tr>
      <w:tr w14:paraId="2F935281">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4" w:hRule="atLeast"/>
        </w:trPr>
        <w:tc>
          <w:tcPr>
            <w:tcW w:w="8318" w:type="dxa"/>
            <w:gridSpan w:val="2"/>
            <w:noWrap w:val="0"/>
            <w:vAlign w:val="center"/>
          </w:tcPr>
          <w:p w14:paraId="523AFCC3">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签订日期：     年     月      日</w:t>
            </w:r>
          </w:p>
        </w:tc>
      </w:tr>
      <w:bookmarkEnd w:id="6"/>
    </w:tbl>
    <w:p w14:paraId="636311B6">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rPr>
      </w:pPr>
    </w:p>
    <w:p w14:paraId="7E120E5E">
      <w:pP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br w:type="page"/>
      </w:r>
    </w:p>
    <w:p w14:paraId="4B0C34BF">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rPr>
        <w:t>附件</w:t>
      </w:r>
      <w:r>
        <w:rPr>
          <w:rFonts w:hint="eastAsia" w:ascii="黑体" w:hAnsi="黑体" w:eastAsia="黑体" w:cs="黑体"/>
          <w:b w:val="0"/>
          <w:bCs/>
          <w:color w:val="000000"/>
          <w:sz w:val="32"/>
          <w:szCs w:val="32"/>
          <w:lang w:val="en-US" w:eastAsia="zh-CN"/>
        </w:rPr>
        <w:t>2 保密承诺函</w:t>
      </w:r>
    </w:p>
    <w:p w14:paraId="506B659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保密承诺函</w:t>
      </w:r>
      <w:r>
        <w:rPr>
          <w:rFonts w:hint="eastAsia" w:ascii="仿宋_GB2312" w:hAnsi="仿宋_GB2312" w:eastAsia="仿宋_GB2312" w:cs="仿宋_GB2312"/>
          <w:sz w:val="32"/>
          <w:szCs w:val="32"/>
        </w:rPr>
        <w:t xml:space="preserve"> </w:t>
      </w:r>
    </w:p>
    <w:p w14:paraId="14DD4C5B">
      <w:pPr>
        <w:pageBreakBefore w:val="0"/>
        <w:kinsoku/>
        <w:overflowPunct/>
        <w:topLinePunct w:val="0"/>
        <w:bidi w:val="0"/>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u w:val="single"/>
        </w:rPr>
        <w:t xml:space="preserve"> 海南省桂林洋公用事业发展有限公司</w:t>
      </w:r>
    </w:p>
    <w:p w14:paraId="25003497">
      <w:pPr>
        <w:pageBreakBefore w:val="0"/>
        <w:kinsoku/>
        <w:overflowPunct/>
        <w:topLinePunct w:val="0"/>
        <w:bidi w:val="0"/>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我司受</w:t>
      </w:r>
      <w:r>
        <w:rPr>
          <w:rFonts w:hint="eastAsia" w:ascii="仿宋" w:hAnsi="仿宋" w:eastAsia="仿宋" w:cs="仿宋"/>
          <w:sz w:val="32"/>
          <w:szCs w:val="32"/>
          <w:u w:val="single"/>
        </w:rPr>
        <w:t xml:space="preserve"> 海南省桂林洋公用事业发展有限公司</w:t>
      </w:r>
      <w:r>
        <w:rPr>
          <w:rFonts w:hint="eastAsia" w:ascii="仿宋" w:hAnsi="仿宋" w:eastAsia="仿宋" w:cs="仿宋"/>
          <w:sz w:val="32"/>
          <w:szCs w:val="32"/>
        </w:rPr>
        <w:t>（以下简称“委托人”）委托，负责</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lang w:val="en-US" w:eastAsia="zh-CN"/>
        </w:rPr>
        <w:t>采购</w:t>
      </w:r>
      <w:r>
        <w:rPr>
          <w:rFonts w:hint="eastAsia" w:ascii="仿宋" w:hAnsi="仿宋" w:eastAsia="仿宋" w:cs="仿宋"/>
          <w:sz w:val="32"/>
          <w:szCs w:val="32"/>
        </w:rPr>
        <w:t>工作，我司在此承诺：</w:t>
      </w:r>
    </w:p>
    <w:p w14:paraId="1D40DCE7">
      <w:pPr>
        <w:pageBreakBefore w:val="0"/>
        <w:numPr>
          <w:ilvl w:val="0"/>
          <w:numId w:val="1"/>
        </w:numPr>
        <w:kinsoku/>
        <w:overflowPunct/>
        <w:topLinePunct w:val="0"/>
        <w:bidi w:val="0"/>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14:paraId="1D147A3A">
      <w:pPr>
        <w:pageBreakBefore w:val="0"/>
        <w:numPr>
          <w:ilvl w:val="0"/>
          <w:numId w:val="1"/>
        </w:numPr>
        <w:kinsoku/>
        <w:overflowPunct/>
        <w:topLinePunct w:val="0"/>
        <w:bidi w:val="0"/>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我司承担保密义务</w:t>
      </w:r>
      <w:r>
        <w:rPr>
          <w:rFonts w:hint="eastAsia" w:ascii="仿宋" w:hAnsi="仿宋" w:eastAsia="仿宋" w:cs="仿宋"/>
          <w:sz w:val="32"/>
          <w:szCs w:val="32"/>
          <w:lang w:eastAsia="zh-CN"/>
        </w:rPr>
        <w:t>直</w:t>
      </w:r>
      <w:r>
        <w:rPr>
          <w:rFonts w:hint="eastAsia" w:ascii="仿宋" w:hAnsi="仿宋" w:eastAsia="仿宋" w:cs="仿宋"/>
          <w:sz w:val="32"/>
          <w:szCs w:val="32"/>
        </w:rPr>
        <w:t>至本条款中所称的保密信息进入公示领域或委托人将这些保密信息公开为止，不因本合同终止或履行完毕而终止。</w:t>
      </w:r>
    </w:p>
    <w:p w14:paraId="6BF64C11">
      <w:pPr>
        <w:pageBreakBefore w:val="0"/>
        <w:kinsoku/>
        <w:overflowPunct/>
        <w:topLinePunct w:val="0"/>
        <w:bidi w:val="0"/>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 </w:t>
      </w:r>
    </w:p>
    <w:p w14:paraId="1F794328">
      <w:pPr>
        <w:keepNext w:val="0"/>
        <w:keepLines w:val="0"/>
        <w:pageBreakBefore w:val="0"/>
        <w:widowControl w:val="0"/>
        <w:kinsoku/>
        <w:wordWrap/>
        <w:overflowPunct/>
        <w:topLinePunct w:val="0"/>
        <w:bidi w:val="0"/>
        <w:snapToGrid/>
        <w:spacing w:line="56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14:paraId="43760B59">
      <w:pPr>
        <w:keepNext w:val="0"/>
        <w:keepLines w:val="0"/>
        <w:pageBreakBefore w:val="0"/>
        <w:widowControl w:val="0"/>
        <w:kinsoku/>
        <w:wordWrap/>
        <w:overflowPunct/>
        <w:topLinePunct w:val="0"/>
        <w:bidi w:val="0"/>
        <w:snapToGrid/>
        <w:spacing w:line="560" w:lineRule="exact"/>
        <w:ind w:firstLine="4160" w:firstLineChars="13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1A70B547">
      <w:pPr>
        <w:keepNext w:val="0"/>
        <w:keepLines w:val="0"/>
        <w:pageBreakBefore w:val="0"/>
        <w:widowControl w:val="0"/>
        <w:kinsoku/>
        <w:wordWrap/>
        <w:overflowPunct/>
        <w:topLinePunct w:val="0"/>
        <w:bidi w:val="0"/>
        <w:snapToGrid/>
        <w:spacing w:line="5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 期：      年   月   日</w:t>
      </w:r>
    </w:p>
    <w:p w14:paraId="51CA0EDD">
      <w:pPr>
        <w:spacing w:line="560" w:lineRule="exact"/>
        <w:rPr>
          <w:rFonts w:hint="eastAsia" w:ascii="仿宋_GB2312" w:hAnsi="仿宋_GB2312" w:eastAsia="仿宋_GB2312" w:cs="仿宋_GB2312"/>
          <w:sz w:val="32"/>
          <w:szCs w:val="32"/>
        </w:rPr>
      </w:pPr>
    </w:p>
    <w:sectPr>
      <w:footerReference r:id="rId3" w:type="default"/>
      <w:pgSz w:w="11906" w:h="16838"/>
      <w:pgMar w:top="1134" w:right="991" w:bottom="851" w:left="1418" w:header="709" w:footer="46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FBA28">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D6281">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第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页 共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NUMPAGES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50D6281">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第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页 共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NUMPAGES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A87A33"/>
    <w:multiLevelType w:val="multilevel"/>
    <w:tmpl w:val="72A87A3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1N2Y0ZGYxZDRlMDE3YTMwYTIzNDAwY2JiNmNkYjkifQ=="/>
  </w:docVars>
  <w:rsids>
    <w:rsidRoot w:val="00807703"/>
    <w:rsid w:val="00036F10"/>
    <w:rsid w:val="00094995"/>
    <w:rsid w:val="000C4CCE"/>
    <w:rsid w:val="00106879"/>
    <w:rsid w:val="001218AE"/>
    <w:rsid w:val="00121D4B"/>
    <w:rsid w:val="00126ED4"/>
    <w:rsid w:val="001428CC"/>
    <w:rsid w:val="001517BA"/>
    <w:rsid w:val="0017776D"/>
    <w:rsid w:val="001A70C1"/>
    <w:rsid w:val="001F1502"/>
    <w:rsid w:val="00207DB9"/>
    <w:rsid w:val="00211B6B"/>
    <w:rsid w:val="0026117F"/>
    <w:rsid w:val="002665AA"/>
    <w:rsid w:val="00284A49"/>
    <w:rsid w:val="002A5793"/>
    <w:rsid w:val="002D2F16"/>
    <w:rsid w:val="00313333"/>
    <w:rsid w:val="00314A43"/>
    <w:rsid w:val="00316625"/>
    <w:rsid w:val="0034047D"/>
    <w:rsid w:val="00355D3D"/>
    <w:rsid w:val="00364667"/>
    <w:rsid w:val="003817FC"/>
    <w:rsid w:val="003A2061"/>
    <w:rsid w:val="003D7FCD"/>
    <w:rsid w:val="0042724F"/>
    <w:rsid w:val="004417F8"/>
    <w:rsid w:val="004B2546"/>
    <w:rsid w:val="004C0323"/>
    <w:rsid w:val="004E3BEE"/>
    <w:rsid w:val="004F72D5"/>
    <w:rsid w:val="005120B7"/>
    <w:rsid w:val="00585658"/>
    <w:rsid w:val="005A2DC4"/>
    <w:rsid w:val="005A58A8"/>
    <w:rsid w:val="005B4578"/>
    <w:rsid w:val="005C48BF"/>
    <w:rsid w:val="0060366F"/>
    <w:rsid w:val="00605116"/>
    <w:rsid w:val="00606A2F"/>
    <w:rsid w:val="00606CE7"/>
    <w:rsid w:val="00662478"/>
    <w:rsid w:val="0069319A"/>
    <w:rsid w:val="006A0B28"/>
    <w:rsid w:val="006F7A64"/>
    <w:rsid w:val="007026AF"/>
    <w:rsid w:val="00723FFE"/>
    <w:rsid w:val="00737EBA"/>
    <w:rsid w:val="00751458"/>
    <w:rsid w:val="007568A1"/>
    <w:rsid w:val="00794DCE"/>
    <w:rsid w:val="0079594D"/>
    <w:rsid w:val="007C3E50"/>
    <w:rsid w:val="00807703"/>
    <w:rsid w:val="008100A0"/>
    <w:rsid w:val="00824A14"/>
    <w:rsid w:val="008533AF"/>
    <w:rsid w:val="008666D5"/>
    <w:rsid w:val="00890B4D"/>
    <w:rsid w:val="00893AF6"/>
    <w:rsid w:val="008D2A3D"/>
    <w:rsid w:val="0090620A"/>
    <w:rsid w:val="00925444"/>
    <w:rsid w:val="00953972"/>
    <w:rsid w:val="009D3DDB"/>
    <w:rsid w:val="009D4EC4"/>
    <w:rsid w:val="009E2BF6"/>
    <w:rsid w:val="009E4876"/>
    <w:rsid w:val="00A031AD"/>
    <w:rsid w:val="00A2608B"/>
    <w:rsid w:val="00A274CC"/>
    <w:rsid w:val="00AB4356"/>
    <w:rsid w:val="00AC4CD1"/>
    <w:rsid w:val="00AE3DDA"/>
    <w:rsid w:val="00B02E51"/>
    <w:rsid w:val="00B10962"/>
    <w:rsid w:val="00B2374F"/>
    <w:rsid w:val="00B54247"/>
    <w:rsid w:val="00B826CA"/>
    <w:rsid w:val="00C02C05"/>
    <w:rsid w:val="00C37586"/>
    <w:rsid w:val="00C4300D"/>
    <w:rsid w:val="00D40E8B"/>
    <w:rsid w:val="00D41DA0"/>
    <w:rsid w:val="00D96C7F"/>
    <w:rsid w:val="00DA342D"/>
    <w:rsid w:val="00DA6C06"/>
    <w:rsid w:val="00DB2CBE"/>
    <w:rsid w:val="00DC131C"/>
    <w:rsid w:val="00DE4190"/>
    <w:rsid w:val="00E14043"/>
    <w:rsid w:val="00E4243A"/>
    <w:rsid w:val="00E634C1"/>
    <w:rsid w:val="00E92C7E"/>
    <w:rsid w:val="00EE0A3F"/>
    <w:rsid w:val="00EE0F5E"/>
    <w:rsid w:val="00F15857"/>
    <w:rsid w:val="00F616AE"/>
    <w:rsid w:val="00F73419"/>
    <w:rsid w:val="00FD35C4"/>
    <w:rsid w:val="00FE7EF5"/>
    <w:rsid w:val="019C1DFD"/>
    <w:rsid w:val="0283101D"/>
    <w:rsid w:val="03092820"/>
    <w:rsid w:val="051763A1"/>
    <w:rsid w:val="056F1B95"/>
    <w:rsid w:val="067F1777"/>
    <w:rsid w:val="069706AA"/>
    <w:rsid w:val="08164204"/>
    <w:rsid w:val="0C1526AA"/>
    <w:rsid w:val="0D446563"/>
    <w:rsid w:val="0FB07EA3"/>
    <w:rsid w:val="11A83523"/>
    <w:rsid w:val="11DD1A47"/>
    <w:rsid w:val="12C56763"/>
    <w:rsid w:val="14503C6A"/>
    <w:rsid w:val="147F319B"/>
    <w:rsid w:val="16777A6D"/>
    <w:rsid w:val="1830082B"/>
    <w:rsid w:val="188A0474"/>
    <w:rsid w:val="18F0721F"/>
    <w:rsid w:val="19063631"/>
    <w:rsid w:val="1A483F2C"/>
    <w:rsid w:val="1CAF66B2"/>
    <w:rsid w:val="1D930CFA"/>
    <w:rsid w:val="1E860E7A"/>
    <w:rsid w:val="205E7F28"/>
    <w:rsid w:val="209E23A2"/>
    <w:rsid w:val="20CF7B31"/>
    <w:rsid w:val="228379AD"/>
    <w:rsid w:val="22BA540C"/>
    <w:rsid w:val="22E520E8"/>
    <w:rsid w:val="23FA0237"/>
    <w:rsid w:val="268564DD"/>
    <w:rsid w:val="28043473"/>
    <w:rsid w:val="2A5A7943"/>
    <w:rsid w:val="2C8F0535"/>
    <w:rsid w:val="2E203BE8"/>
    <w:rsid w:val="2F153783"/>
    <w:rsid w:val="2F7C226A"/>
    <w:rsid w:val="3140197F"/>
    <w:rsid w:val="31B322F3"/>
    <w:rsid w:val="330144CE"/>
    <w:rsid w:val="33C22E71"/>
    <w:rsid w:val="343B0DD1"/>
    <w:rsid w:val="375E5A05"/>
    <w:rsid w:val="384824FC"/>
    <w:rsid w:val="397F763D"/>
    <w:rsid w:val="39D01EC0"/>
    <w:rsid w:val="3A676B6B"/>
    <w:rsid w:val="3B6073F7"/>
    <w:rsid w:val="3BCA4812"/>
    <w:rsid w:val="3D932E36"/>
    <w:rsid w:val="3ECE48E6"/>
    <w:rsid w:val="3F051C53"/>
    <w:rsid w:val="3FFD1C94"/>
    <w:rsid w:val="40A76667"/>
    <w:rsid w:val="40D519B8"/>
    <w:rsid w:val="431743ED"/>
    <w:rsid w:val="440763CC"/>
    <w:rsid w:val="44445BB7"/>
    <w:rsid w:val="458920C5"/>
    <w:rsid w:val="49D33F63"/>
    <w:rsid w:val="4A922CC9"/>
    <w:rsid w:val="4D0A70A9"/>
    <w:rsid w:val="4DA70238"/>
    <w:rsid w:val="4DD76D6F"/>
    <w:rsid w:val="4EB96475"/>
    <w:rsid w:val="4EF4744B"/>
    <w:rsid w:val="521C7446"/>
    <w:rsid w:val="528736D0"/>
    <w:rsid w:val="5288446F"/>
    <w:rsid w:val="529F5982"/>
    <w:rsid w:val="53234C2D"/>
    <w:rsid w:val="5351562B"/>
    <w:rsid w:val="537A2677"/>
    <w:rsid w:val="53BC12D5"/>
    <w:rsid w:val="543808DF"/>
    <w:rsid w:val="54BB522B"/>
    <w:rsid w:val="580C3A42"/>
    <w:rsid w:val="58142C3F"/>
    <w:rsid w:val="58472D43"/>
    <w:rsid w:val="58AE7945"/>
    <w:rsid w:val="59BE5070"/>
    <w:rsid w:val="5BA83AF9"/>
    <w:rsid w:val="5BB05A85"/>
    <w:rsid w:val="5C1F30BF"/>
    <w:rsid w:val="5CA15459"/>
    <w:rsid w:val="5E2B22AB"/>
    <w:rsid w:val="5F2E7841"/>
    <w:rsid w:val="61292F5E"/>
    <w:rsid w:val="61671868"/>
    <w:rsid w:val="617526BE"/>
    <w:rsid w:val="628A11B2"/>
    <w:rsid w:val="63BC76D1"/>
    <w:rsid w:val="640B3330"/>
    <w:rsid w:val="655A1B08"/>
    <w:rsid w:val="6821514C"/>
    <w:rsid w:val="690227DC"/>
    <w:rsid w:val="69A47FF6"/>
    <w:rsid w:val="6B7C6CD7"/>
    <w:rsid w:val="6D395DA0"/>
    <w:rsid w:val="6EE57E40"/>
    <w:rsid w:val="6F795191"/>
    <w:rsid w:val="6FB940CF"/>
    <w:rsid w:val="701632CF"/>
    <w:rsid w:val="704C6FCE"/>
    <w:rsid w:val="717A035E"/>
    <w:rsid w:val="724A3704"/>
    <w:rsid w:val="72A37CB3"/>
    <w:rsid w:val="74A470FC"/>
    <w:rsid w:val="757A7E5C"/>
    <w:rsid w:val="75CA0BC6"/>
    <w:rsid w:val="77711ED0"/>
    <w:rsid w:val="7A4757ED"/>
    <w:rsid w:val="7E240B01"/>
    <w:rsid w:val="7F651B7D"/>
    <w:rsid w:val="7FC5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autoRedefine/>
    <w:qFormat/>
    <w:uiPriority w:val="99"/>
    <w:pPr>
      <w:spacing w:after="120"/>
    </w:pPr>
  </w:style>
  <w:style w:type="paragraph" w:styleId="7">
    <w:name w:val="Balloon Text"/>
    <w:basedOn w:val="1"/>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rFonts w:ascii="Calibri" w:hAnsi="Calibri" w:cs="Arial"/>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rFonts w:ascii="Calibri" w:hAnsi="Calibri" w:cs="Arial"/>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autoRedefine/>
    <w:qFormat/>
    <w:uiPriority w:val="0"/>
    <w:rPr>
      <w:rFonts w:cs="Times New Roman"/>
      <w:sz w:val="21"/>
      <w:szCs w:val="21"/>
    </w:rPr>
  </w:style>
  <w:style w:type="paragraph" w:customStyle="1" w:styleId="14">
    <w:name w:val="表格文字"/>
    <w:basedOn w:val="1"/>
    <w:qFormat/>
    <w:uiPriority w:val="99"/>
    <w:pPr>
      <w:spacing w:line="300" w:lineRule="auto"/>
    </w:pPr>
    <w:rPr>
      <w:spacing w:val="10"/>
    </w:rPr>
  </w:style>
  <w:style w:type="paragraph" w:styleId="15">
    <w:name w:val="List Paragraph"/>
    <w:basedOn w:val="1"/>
    <w:autoRedefine/>
    <w:qFormat/>
    <w:uiPriority w:val="0"/>
    <w:pPr>
      <w:ind w:firstLine="200" w:firstLineChars="200"/>
    </w:p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3643</Words>
  <Characters>3808</Characters>
  <Lines>29</Lines>
  <Paragraphs>8</Paragraphs>
  <TotalTime>111</TotalTime>
  <ScaleCrop>false</ScaleCrop>
  <LinksUpToDate>false</LinksUpToDate>
  <CharactersWithSpaces>4011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2024-11-06T09:12:00Z</dcterms:created>
  <dc:creator>黄尹</dc:creator>
  <cp:lastModifiedBy>林声淇</cp:lastModifiedBy>
  <cp:lastPrinted>2020-04-25T09:29:00Z</cp:lastPrinted>
  <dcterms:modified xsi:type="dcterms:W3CDTF">2025-02-24T01:59:10Z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A56D2BC28641498482C30822696A0B2B_13</vt:lpwstr>
  </property>
  <property fmtid="{D5CDD505-2E9C-101B-9397-08002B2CF9AE}" pid="4" name="KSOTemplateDocerSaveRecord">
    <vt:lpwstr>eyJoZGlkIjoiODVlMzM0ZDg1NTMwYjhiMWQ0ODIwYzAyMWFmODY0YzciLCJ1c2VySWQiOiIxNjYxMTY2OTI1In0=</vt:lpwstr>
  </property>
</Properties>
</file>